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C58" w:rsidRPr="00BE69DF" w:rsidRDefault="00922C58" w:rsidP="004D516D">
      <w:pPr>
        <w:spacing w:after="0"/>
        <w:ind w:left="-1134"/>
        <w:rPr>
          <w:rFonts w:cs="Times New Roman"/>
          <w:sz w:val="18"/>
          <w:szCs w:val="18"/>
        </w:rPr>
      </w:pPr>
      <w:r>
        <w:rPr>
          <w:b/>
          <w:color w:val="000000"/>
          <w:u w:val="single"/>
        </w:rPr>
        <w:t>NÁVŠTĚVNOST MORAVSKÉ GALERIE V ROCE 2017</w:t>
      </w:r>
    </w:p>
    <w:p w:rsidR="00922C58" w:rsidRDefault="00922C58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</w:p>
    <w:p w:rsidR="00FA0670" w:rsidRDefault="009A41F7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STÁLÉ EXPOZICE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36</w:t>
      </w:r>
      <w:r w:rsidR="00FA0670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499</w:t>
      </w:r>
    </w:p>
    <w:p w:rsidR="00FA0670" w:rsidRDefault="00FA0670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Pražákův palác</w:t>
      </w:r>
      <w:r w:rsidR="005B70AB">
        <w:rPr>
          <w:color w:val="000000"/>
          <w:sz w:val="22"/>
          <w:szCs w:val="22"/>
        </w:rPr>
        <w:tab/>
      </w:r>
      <w:r w:rsidR="005B70AB">
        <w:rPr>
          <w:color w:val="000000"/>
          <w:sz w:val="22"/>
          <w:szCs w:val="22"/>
        </w:rPr>
        <w:tab/>
      </w:r>
      <w:r w:rsidR="005B70AB">
        <w:rPr>
          <w:color w:val="000000"/>
          <w:sz w:val="22"/>
          <w:szCs w:val="22"/>
        </w:rPr>
        <w:tab/>
        <w:t>13 712</w:t>
      </w:r>
    </w:p>
    <w:p w:rsidR="00FA0670" w:rsidRDefault="00FA0670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Uměleckoprůmyslové muzeum</w:t>
      </w:r>
      <w:r w:rsidR="005B70AB">
        <w:rPr>
          <w:color w:val="000000"/>
          <w:sz w:val="22"/>
          <w:szCs w:val="22"/>
        </w:rPr>
        <w:tab/>
      </w:r>
      <w:r w:rsidR="005B70AB">
        <w:rPr>
          <w:color w:val="000000"/>
          <w:sz w:val="22"/>
          <w:szCs w:val="22"/>
        </w:rPr>
        <w:tab/>
      </w:r>
      <w:r w:rsidR="005B70AB">
        <w:rPr>
          <w:color w:val="000000"/>
          <w:sz w:val="22"/>
          <w:szCs w:val="22"/>
        </w:rPr>
        <w:tab/>
        <w:t>13 029</w:t>
      </w:r>
    </w:p>
    <w:p w:rsidR="00FA0670" w:rsidRDefault="00FA0670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Místodržitelský palác</w:t>
      </w:r>
      <w:r w:rsidR="005B70AB">
        <w:rPr>
          <w:color w:val="000000"/>
          <w:sz w:val="22"/>
          <w:szCs w:val="22"/>
        </w:rPr>
        <w:tab/>
      </w:r>
      <w:r w:rsidR="005B70AB">
        <w:rPr>
          <w:color w:val="000000"/>
          <w:sz w:val="22"/>
          <w:szCs w:val="22"/>
        </w:rPr>
        <w:tab/>
      </w:r>
      <w:r w:rsidR="005B70AB">
        <w:rPr>
          <w:color w:val="000000"/>
          <w:sz w:val="22"/>
          <w:szCs w:val="22"/>
        </w:rPr>
        <w:tab/>
        <w:t>9 678</w:t>
      </w:r>
    </w:p>
    <w:p w:rsidR="005B70AB" w:rsidRPr="005B70AB" w:rsidRDefault="00FA0670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18"/>
          <w:szCs w:val="18"/>
        </w:rPr>
      </w:pPr>
      <w:r w:rsidRPr="005B70AB">
        <w:rPr>
          <w:color w:val="000000"/>
          <w:sz w:val="18"/>
          <w:szCs w:val="18"/>
        </w:rPr>
        <w:t xml:space="preserve">Expozice v Uměleckoprůmyslovém muzeu byla od 30. 6. 2017 z důvodu připravované </w:t>
      </w:r>
    </w:p>
    <w:p w:rsidR="00FA0670" w:rsidRPr="005B70AB" w:rsidRDefault="00FA0670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18"/>
          <w:szCs w:val="18"/>
        </w:rPr>
      </w:pPr>
      <w:r w:rsidRPr="005B70AB">
        <w:rPr>
          <w:color w:val="000000"/>
          <w:sz w:val="18"/>
          <w:szCs w:val="18"/>
        </w:rPr>
        <w:t>rekonstrukce uzavřena</w:t>
      </w:r>
    </w:p>
    <w:p w:rsidR="0096277A" w:rsidRDefault="0096277A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KRÁTKODOBÉ VÝSTAVY</w:t>
      </w:r>
      <w:r w:rsidR="00734AC3">
        <w:rPr>
          <w:color w:val="000000"/>
          <w:sz w:val="22"/>
          <w:szCs w:val="22"/>
        </w:rPr>
        <w:tab/>
      </w:r>
      <w:r w:rsidR="00734AC3">
        <w:rPr>
          <w:color w:val="000000"/>
          <w:sz w:val="22"/>
          <w:szCs w:val="22"/>
        </w:rPr>
        <w:tab/>
      </w:r>
      <w:r w:rsidR="009A41F7">
        <w:rPr>
          <w:color w:val="000000"/>
          <w:sz w:val="22"/>
          <w:szCs w:val="22"/>
        </w:rPr>
        <w:tab/>
        <w:t>72 535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</w:p>
    <w:p w:rsidR="0096277A" w:rsidRDefault="0096277A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JURKOVIČOVA VILA</w:t>
      </w:r>
      <w:r w:rsidR="009A41F7">
        <w:rPr>
          <w:color w:val="000000"/>
          <w:sz w:val="22"/>
          <w:szCs w:val="22"/>
        </w:rPr>
        <w:tab/>
      </w:r>
      <w:r w:rsidR="009A41F7">
        <w:rPr>
          <w:color w:val="000000"/>
          <w:sz w:val="22"/>
          <w:szCs w:val="22"/>
        </w:rPr>
        <w:tab/>
      </w:r>
      <w:r w:rsidR="009A41F7">
        <w:rPr>
          <w:color w:val="000000"/>
          <w:sz w:val="22"/>
          <w:szCs w:val="22"/>
        </w:rPr>
        <w:tab/>
        <w:t>13 260</w:t>
      </w:r>
    </w:p>
    <w:p w:rsidR="0096277A" w:rsidRDefault="0096277A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RODNÝ DŮM JOSEFA HOFFMANNA V BRTNICI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9A41F7">
        <w:rPr>
          <w:color w:val="000000"/>
          <w:sz w:val="22"/>
          <w:szCs w:val="22"/>
        </w:rPr>
        <w:tab/>
        <w:t>1 857</w:t>
      </w:r>
    </w:p>
    <w:p w:rsidR="00734AC3" w:rsidRDefault="009A41F7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KNIHOVNA V PRAŽÁKOVĚ PALÁCI</w:t>
      </w:r>
      <w:r w:rsidR="00734AC3">
        <w:rPr>
          <w:color w:val="000000"/>
          <w:sz w:val="22"/>
          <w:szCs w:val="22"/>
        </w:rPr>
        <w:tab/>
      </w:r>
      <w:r w:rsidR="00734AC3">
        <w:rPr>
          <w:color w:val="000000"/>
          <w:sz w:val="22"/>
          <w:szCs w:val="22"/>
        </w:rPr>
        <w:tab/>
      </w:r>
      <w:r w:rsidR="00734AC3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>2</w:t>
      </w:r>
      <w:r w:rsidR="000544E6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789</w:t>
      </w:r>
    </w:p>
    <w:p w:rsidR="009A41F7" w:rsidRPr="009A41F7" w:rsidRDefault="009A41F7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18"/>
          <w:szCs w:val="18"/>
        </w:rPr>
      </w:pPr>
      <w:r w:rsidRPr="009A41F7">
        <w:rPr>
          <w:color w:val="000000"/>
          <w:sz w:val="18"/>
          <w:szCs w:val="18"/>
        </w:rPr>
        <w:t>Návštěvnost je uváděna včetně doprovodných programů a programů pro školy</w:t>
      </w:r>
    </w:p>
    <w:p w:rsidR="009A41F7" w:rsidRDefault="009A41F7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DOPROVODNÉ PROGRAMY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12 796</w:t>
      </w:r>
    </w:p>
    <w:p w:rsidR="009A41F7" w:rsidRDefault="009A41F7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18"/>
          <w:szCs w:val="18"/>
        </w:rPr>
      </w:pPr>
      <w:r w:rsidRPr="009A41F7">
        <w:rPr>
          <w:color w:val="000000"/>
          <w:sz w:val="18"/>
          <w:szCs w:val="18"/>
        </w:rPr>
        <w:t>Jedná se o doprovodné programy, které se nevztahovaly ke k</w:t>
      </w:r>
      <w:r>
        <w:rPr>
          <w:color w:val="000000"/>
          <w:sz w:val="18"/>
          <w:szCs w:val="18"/>
        </w:rPr>
        <w:t>onkrétním výstavám či expozicím</w:t>
      </w:r>
    </w:p>
    <w:p w:rsidR="00FA0670" w:rsidRPr="009A41F7" w:rsidRDefault="00FA0670" w:rsidP="00734AC3">
      <w:pPr>
        <w:pStyle w:val="Normlnweb"/>
        <w:tabs>
          <w:tab w:val="left" w:pos="5670"/>
        </w:tabs>
        <w:spacing w:beforeAutospacing="0" w:after="0" w:afterAutospacing="0" w:line="360" w:lineRule="auto"/>
        <w:rPr>
          <w:color w:val="000000"/>
          <w:sz w:val="18"/>
          <w:szCs w:val="18"/>
        </w:rPr>
      </w:pPr>
    </w:p>
    <w:p w:rsidR="00734AC3" w:rsidRPr="00FA0670" w:rsidRDefault="00FA0670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b/>
          <w:color w:val="000000"/>
          <w:sz w:val="22"/>
          <w:szCs w:val="22"/>
        </w:rPr>
      </w:pPr>
      <w:r w:rsidRPr="00FA0670">
        <w:rPr>
          <w:b/>
          <w:color w:val="000000"/>
          <w:sz w:val="22"/>
          <w:szCs w:val="22"/>
        </w:rPr>
        <w:t>CELKOVÁ NÁVŠTĚVNOST</w:t>
      </w:r>
      <w:r w:rsidRPr="00FA0670">
        <w:rPr>
          <w:b/>
          <w:color w:val="000000"/>
          <w:sz w:val="22"/>
          <w:szCs w:val="22"/>
        </w:rPr>
        <w:tab/>
      </w:r>
      <w:r w:rsidRPr="00FA0670">
        <w:rPr>
          <w:b/>
          <w:color w:val="000000"/>
          <w:sz w:val="22"/>
          <w:szCs w:val="22"/>
        </w:rPr>
        <w:tab/>
      </w:r>
      <w:r w:rsidRPr="00FA0670">
        <w:rPr>
          <w:b/>
          <w:color w:val="000000"/>
          <w:sz w:val="22"/>
          <w:szCs w:val="22"/>
        </w:rPr>
        <w:tab/>
        <w:t>139 734</w:t>
      </w:r>
      <w:r w:rsidR="00734AC3" w:rsidRPr="00FA0670">
        <w:rPr>
          <w:b/>
          <w:color w:val="000000"/>
          <w:sz w:val="22"/>
          <w:szCs w:val="22"/>
        </w:rPr>
        <w:tab/>
      </w:r>
      <w:r w:rsidR="004D516D">
        <w:rPr>
          <w:noProof/>
          <w:color w:val="000000"/>
          <w:sz w:val="22"/>
          <w:szCs w:val="22"/>
        </w:rPr>
        <w:drawing>
          <wp:inline distT="0" distB="0" distL="0" distR="0" wp14:anchorId="77C6194D" wp14:editId="05C59942">
            <wp:extent cx="6642100" cy="3683000"/>
            <wp:effectExtent l="0" t="0" r="25400" b="1270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 w:rsidR="00734AC3" w:rsidRPr="00FA0670">
        <w:rPr>
          <w:b/>
          <w:color w:val="000000"/>
          <w:sz w:val="22"/>
          <w:szCs w:val="22"/>
        </w:rPr>
        <w:tab/>
      </w:r>
      <w:r w:rsidR="00734AC3" w:rsidRPr="00FA0670">
        <w:rPr>
          <w:b/>
          <w:color w:val="000000"/>
          <w:sz w:val="22"/>
          <w:szCs w:val="22"/>
        </w:rPr>
        <w:tab/>
      </w:r>
    </w:p>
    <w:p w:rsidR="0096277A" w:rsidRDefault="0096277A" w:rsidP="0096277A">
      <w:pPr>
        <w:pStyle w:val="Normlnweb"/>
        <w:tabs>
          <w:tab w:val="left" w:pos="5670"/>
        </w:tabs>
        <w:spacing w:beforeAutospacing="0" w:after="0" w:afterAutospacing="0" w:line="360" w:lineRule="auto"/>
        <w:rPr>
          <w:color w:val="000000"/>
          <w:sz w:val="22"/>
          <w:szCs w:val="22"/>
        </w:rPr>
      </w:pPr>
      <w:bookmarkStart w:id="0" w:name="_GoBack"/>
      <w:bookmarkEnd w:id="0"/>
    </w:p>
    <w:p w:rsidR="004D516D" w:rsidRDefault="004D516D" w:rsidP="0096277A">
      <w:pPr>
        <w:pStyle w:val="Normlnweb"/>
        <w:tabs>
          <w:tab w:val="left" w:pos="5670"/>
        </w:tabs>
        <w:spacing w:beforeAutospacing="0" w:after="0" w:afterAutospacing="0" w:line="360" w:lineRule="auto"/>
        <w:rPr>
          <w:color w:val="000000"/>
          <w:sz w:val="22"/>
          <w:szCs w:val="22"/>
        </w:rPr>
      </w:pPr>
    </w:p>
    <w:p w:rsidR="004D516D" w:rsidRDefault="004D516D" w:rsidP="0096277A">
      <w:pPr>
        <w:pStyle w:val="Normlnweb"/>
        <w:tabs>
          <w:tab w:val="left" w:pos="5670"/>
        </w:tabs>
        <w:spacing w:beforeAutospacing="0" w:after="0" w:afterAutospacing="0" w:line="360" w:lineRule="auto"/>
        <w:rPr>
          <w:color w:val="000000"/>
          <w:sz w:val="22"/>
          <w:szCs w:val="22"/>
        </w:rPr>
      </w:pPr>
    </w:p>
    <w:p w:rsidR="0096277A" w:rsidRPr="00421847" w:rsidRDefault="0096277A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b/>
          <w:color w:val="000000"/>
          <w:sz w:val="22"/>
          <w:szCs w:val="22"/>
          <w:u w:val="single"/>
        </w:rPr>
      </w:pPr>
      <w:r w:rsidRPr="00421847">
        <w:rPr>
          <w:b/>
          <w:color w:val="000000"/>
          <w:sz w:val="22"/>
          <w:szCs w:val="22"/>
          <w:u w:val="single"/>
        </w:rPr>
        <w:lastRenderedPageBreak/>
        <w:t xml:space="preserve">DOPLŇUJÍCÍ INFORMACE </w:t>
      </w:r>
      <w:r>
        <w:rPr>
          <w:b/>
          <w:color w:val="000000"/>
          <w:sz w:val="22"/>
          <w:szCs w:val="22"/>
          <w:u w:val="single"/>
        </w:rPr>
        <w:t xml:space="preserve">K </w:t>
      </w:r>
      <w:r w:rsidRPr="00421847">
        <w:rPr>
          <w:b/>
          <w:color w:val="000000"/>
          <w:sz w:val="22"/>
          <w:szCs w:val="22"/>
          <w:u w:val="single"/>
        </w:rPr>
        <w:t>NÁVŠTĚVNOSTI</w:t>
      </w:r>
    </w:p>
    <w:p w:rsidR="0096277A" w:rsidRDefault="0096277A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KMENY 90 (13. 5. – 1.</w:t>
      </w:r>
      <w:r w:rsidR="00FA0670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10. 2017)</w:t>
      </w:r>
      <w:r w:rsidR="00734AC3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963A8">
        <w:rPr>
          <w:color w:val="000000"/>
          <w:sz w:val="22"/>
          <w:szCs w:val="22"/>
        </w:rPr>
        <w:t>28</w:t>
      </w:r>
      <w:r w:rsidR="009A41F7">
        <w:rPr>
          <w:color w:val="000000"/>
          <w:sz w:val="22"/>
          <w:szCs w:val="22"/>
        </w:rPr>
        <w:t> </w:t>
      </w:r>
      <w:r w:rsidRPr="00E963A8">
        <w:rPr>
          <w:color w:val="000000"/>
          <w:sz w:val="22"/>
          <w:szCs w:val="22"/>
        </w:rPr>
        <w:t>633</w:t>
      </w:r>
    </w:p>
    <w:p w:rsidR="009A41F7" w:rsidRPr="009A41F7" w:rsidRDefault="009A41F7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sz w:val="18"/>
          <w:szCs w:val="18"/>
        </w:rPr>
      </w:pPr>
      <w:r w:rsidRPr="009A41F7">
        <w:rPr>
          <w:color w:val="000000"/>
          <w:sz w:val="18"/>
          <w:szCs w:val="18"/>
        </w:rPr>
        <w:t>Výstava KMENY 90 byla nejúspěšnější výstavou Moravské galerie nejen v tomto roce, ale také v její historii</w:t>
      </w:r>
    </w:p>
    <w:p w:rsidR="00734AC3" w:rsidRDefault="00734AC3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EDUKAČNÍ PROGRAMY</w:t>
      </w:r>
      <w:r w:rsidR="009A41F7">
        <w:rPr>
          <w:color w:val="000000"/>
          <w:sz w:val="22"/>
          <w:szCs w:val="22"/>
        </w:rPr>
        <w:t xml:space="preserve"> PRO ŠKOLY</w:t>
      </w:r>
      <w:r w:rsidR="00FA0670">
        <w:rPr>
          <w:color w:val="000000"/>
          <w:sz w:val="22"/>
          <w:szCs w:val="22"/>
        </w:rPr>
        <w:tab/>
      </w:r>
      <w:r w:rsidR="00FA0670">
        <w:rPr>
          <w:color w:val="000000"/>
          <w:sz w:val="22"/>
          <w:szCs w:val="22"/>
        </w:rPr>
        <w:tab/>
      </w:r>
      <w:r w:rsidR="00FA0670">
        <w:rPr>
          <w:color w:val="000000"/>
          <w:sz w:val="22"/>
          <w:szCs w:val="22"/>
        </w:rPr>
        <w:tab/>
        <w:t>6 946</w:t>
      </w:r>
    </w:p>
    <w:p w:rsidR="00734AC3" w:rsidRDefault="00734AC3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DOPROVODNÉ PROGRAMY</w:t>
      </w:r>
      <w:r w:rsidR="00FA0670">
        <w:rPr>
          <w:color w:val="000000"/>
          <w:sz w:val="22"/>
          <w:szCs w:val="22"/>
        </w:rPr>
        <w:tab/>
      </w:r>
      <w:r w:rsidR="00FA0670">
        <w:rPr>
          <w:color w:val="000000"/>
          <w:sz w:val="22"/>
          <w:szCs w:val="22"/>
        </w:rPr>
        <w:tab/>
      </w:r>
      <w:r w:rsidR="00FA0670">
        <w:rPr>
          <w:color w:val="000000"/>
          <w:sz w:val="22"/>
          <w:szCs w:val="22"/>
        </w:rPr>
        <w:tab/>
        <w:t>41 841</w:t>
      </w:r>
    </w:p>
    <w:p w:rsidR="0096277A" w:rsidRDefault="0096277A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STÁLÁ EXPOZICE NA ZÁMKU MIKULOV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35</w:t>
      </w:r>
      <w:r w:rsidR="009A41F7">
        <w:rPr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438</w:t>
      </w:r>
    </w:p>
    <w:p w:rsidR="009A41F7" w:rsidRPr="009A41F7" w:rsidRDefault="009A41F7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18"/>
          <w:szCs w:val="18"/>
        </w:rPr>
      </w:pPr>
      <w:r w:rsidRPr="009A41F7">
        <w:rPr>
          <w:color w:val="000000"/>
          <w:sz w:val="18"/>
          <w:szCs w:val="18"/>
        </w:rPr>
        <w:t>Návštěvnost na zámku Mikulov není započítána do celkové návštěvnosti</w:t>
      </w:r>
    </w:p>
    <w:p w:rsidR="0096277A" w:rsidRDefault="0096277A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NÁVŠTĚVNOST BRNĚNSKÉ MUZEJNÍ NOCI 2017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="00FA0670">
        <w:rPr>
          <w:color w:val="000000"/>
          <w:sz w:val="22"/>
          <w:szCs w:val="22"/>
        </w:rPr>
        <w:tab/>
        <w:t>7 630</w:t>
      </w:r>
    </w:p>
    <w:p w:rsidR="0096277A" w:rsidRDefault="0096277A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VERNISÁŽE VÝSTAV</w:t>
      </w:r>
      <w:r w:rsidR="009A41F7">
        <w:rPr>
          <w:color w:val="000000"/>
          <w:sz w:val="22"/>
          <w:szCs w:val="22"/>
        </w:rPr>
        <w:tab/>
      </w:r>
      <w:r w:rsidR="009A41F7">
        <w:rPr>
          <w:color w:val="000000"/>
          <w:sz w:val="22"/>
          <w:szCs w:val="22"/>
        </w:rPr>
        <w:tab/>
      </w:r>
      <w:r w:rsidR="009A41F7">
        <w:rPr>
          <w:color w:val="000000"/>
          <w:sz w:val="22"/>
          <w:szCs w:val="22"/>
        </w:rPr>
        <w:tab/>
        <w:t>8</w:t>
      </w:r>
      <w:r w:rsidR="00FA0670">
        <w:rPr>
          <w:color w:val="000000"/>
          <w:sz w:val="22"/>
          <w:szCs w:val="22"/>
        </w:rPr>
        <w:t> </w:t>
      </w:r>
      <w:r w:rsidR="009A41F7">
        <w:rPr>
          <w:color w:val="000000"/>
          <w:sz w:val="22"/>
          <w:szCs w:val="22"/>
        </w:rPr>
        <w:t>929</w:t>
      </w:r>
    </w:p>
    <w:p w:rsidR="00FA0670" w:rsidRDefault="00FA0670" w:rsidP="004D516D">
      <w:pPr>
        <w:pStyle w:val="Normlnweb"/>
        <w:tabs>
          <w:tab w:val="left" w:pos="5670"/>
        </w:tabs>
        <w:spacing w:beforeAutospacing="0" w:after="0" w:afterAutospacing="0" w:line="360" w:lineRule="auto"/>
        <w:ind w:left="-1134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FIREMNÍ PROHLÍDKY</w:t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760</w:t>
      </w:r>
    </w:p>
    <w:p w:rsidR="001F3C2C" w:rsidRDefault="001F3C2C"/>
    <w:sectPr w:rsidR="001F3C2C" w:rsidSect="00470C81">
      <w:headerReference w:type="even" r:id="rId10"/>
      <w:headerReference w:type="default" r:id="rId11"/>
      <w:headerReference w:type="first" r:id="rId12"/>
      <w:pgSz w:w="11906" w:h="16838"/>
      <w:pgMar w:top="1985" w:right="1134" w:bottom="1134" w:left="2268" w:header="703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32B" w:rsidRDefault="0089232B" w:rsidP="00922C58">
      <w:pPr>
        <w:spacing w:after="0" w:line="240" w:lineRule="auto"/>
      </w:pPr>
      <w:r>
        <w:separator/>
      </w:r>
    </w:p>
  </w:endnote>
  <w:endnote w:type="continuationSeparator" w:id="0">
    <w:p w:rsidR="0089232B" w:rsidRDefault="0089232B" w:rsidP="00922C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32B" w:rsidRDefault="0089232B" w:rsidP="00922C58">
      <w:pPr>
        <w:spacing w:after="0" w:line="240" w:lineRule="auto"/>
      </w:pPr>
      <w:r>
        <w:separator/>
      </w:r>
    </w:p>
  </w:footnote>
  <w:footnote w:type="continuationSeparator" w:id="0">
    <w:p w:rsidR="0089232B" w:rsidRDefault="0089232B" w:rsidP="00922C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C81" w:rsidRDefault="00395FFB">
    <w:pPr>
      <w:pStyle w:val="Zhlav"/>
    </w:pPr>
    <w:r>
      <w:t>Tisková zpráva / 4. leden 2018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7591259"/>
      <w:docPartObj>
        <w:docPartGallery w:val="Page Numbers (Top of Page)"/>
        <w:docPartUnique/>
      </w:docPartObj>
    </w:sdtPr>
    <w:sdtEndPr/>
    <w:sdtContent>
      <w:p w:rsidR="00E1626C" w:rsidRDefault="00395FFB">
        <w:pPr>
          <w:pStyle w:val="Zhlav"/>
          <w:jc w:val="right"/>
        </w:pPr>
        <w:r>
          <w:t xml:space="preserve"> Příloha tiskové zprávy č. 1 / 4. leden 2018</w:t>
        </w:r>
        <w:r>
          <w:tab/>
        </w:r>
        <w:r>
          <w:tab/>
        </w:r>
        <w:r>
          <w:fldChar w:fldCharType="begin"/>
        </w:r>
        <w:r>
          <w:instrText>PAGE</w:instrText>
        </w:r>
        <w:r>
          <w:fldChar w:fldCharType="separate"/>
        </w:r>
        <w:r w:rsidR="00B4382F">
          <w:rPr>
            <w:noProof/>
          </w:rPr>
          <w:t>2</w:t>
        </w:r>
        <w:r>
          <w:fldChar w:fldCharType="end"/>
        </w:r>
      </w:p>
      <w:p w:rsidR="00E1626C" w:rsidRDefault="0089232B">
        <w:pPr>
          <w:pStyle w:val="Zhlav"/>
          <w:rPr>
            <w:sz w:val="20"/>
            <w:szCs w:val="20"/>
          </w:rPr>
        </w:pP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26C" w:rsidRDefault="00922C58">
    <w:pPr>
      <w:pStyle w:val="Zhlav"/>
    </w:pPr>
    <w:r>
      <w:t>Příloha tiskové zprávy č. 1 / 4. leden 2018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269"/>
    <w:multiLevelType w:val="hybridMultilevel"/>
    <w:tmpl w:val="C4A2250E"/>
    <w:lvl w:ilvl="0" w:tplc="3430966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C58"/>
    <w:rsid w:val="00002903"/>
    <w:rsid w:val="000544E6"/>
    <w:rsid w:val="000654BB"/>
    <w:rsid w:val="000E7BE2"/>
    <w:rsid w:val="001A575D"/>
    <w:rsid w:val="001B546A"/>
    <w:rsid w:val="001F3C2C"/>
    <w:rsid w:val="00395FFB"/>
    <w:rsid w:val="00455C87"/>
    <w:rsid w:val="004D516D"/>
    <w:rsid w:val="005B70AB"/>
    <w:rsid w:val="006827C8"/>
    <w:rsid w:val="00734AC3"/>
    <w:rsid w:val="007D10D1"/>
    <w:rsid w:val="008015A2"/>
    <w:rsid w:val="00845023"/>
    <w:rsid w:val="0089232B"/>
    <w:rsid w:val="00912903"/>
    <w:rsid w:val="00922C58"/>
    <w:rsid w:val="0096277A"/>
    <w:rsid w:val="009A41F7"/>
    <w:rsid w:val="00B12242"/>
    <w:rsid w:val="00B4382F"/>
    <w:rsid w:val="00C10421"/>
    <w:rsid w:val="00C63EE0"/>
    <w:rsid w:val="00CF40EA"/>
    <w:rsid w:val="00D17023"/>
    <w:rsid w:val="00DB009B"/>
    <w:rsid w:val="00E963A8"/>
    <w:rsid w:val="00F072AB"/>
    <w:rsid w:val="00FA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C58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22C5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922C5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ZhlavChar1">
    <w:name w:val="Záhlaví Char1"/>
    <w:basedOn w:val="Standardnpsmoodstavce"/>
    <w:uiPriority w:val="99"/>
    <w:semiHidden/>
    <w:rsid w:val="00922C58"/>
    <w:rPr>
      <w:rFonts w:ascii="Times New Roman" w:eastAsiaTheme="majorEastAsia" w:hAnsi="Times New Roman" w:cstheme="majorBidi"/>
    </w:rPr>
  </w:style>
  <w:style w:type="paragraph" w:styleId="Normlnweb">
    <w:name w:val="Normal (Web)"/>
    <w:basedOn w:val="Normln"/>
    <w:uiPriority w:val="99"/>
    <w:unhideWhenUsed/>
    <w:qFormat/>
    <w:rsid w:val="00922C58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C58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BE2"/>
    <w:rPr>
      <w:rFonts w:ascii="Tahoma" w:eastAsiaTheme="maj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63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EE0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EE0"/>
    <w:rPr>
      <w:rFonts w:ascii="Times New Roman" w:eastAsiaTheme="majorEastAsia" w:hAnsi="Times New Roman" w:cstheme="majorBidi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22C58"/>
    <w:rPr>
      <w:rFonts w:ascii="Times New Roman" w:eastAsiaTheme="majorEastAsia" w:hAnsi="Times New Roman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922C58"/>
    <w:rPr>
      <w:rFonts w:ascii="Times New Roman" w:hAnsi="Times New Roman"/>
    </w:rPr>
  </w:style>
  <w:style w:type="paragraph" w:styleId="Zhlav">
    <w:name w:val="header"/>
    <w:basedOn w:val="Normln"/>
    <w:link w:val="ZhlavChar"/>
    <w:uiPriority w:val="99"/>
    <w:unhideWhenUsed/>
    <w:rsid w:val="00922C58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ZhlavChar1">
    <w:name w:val="Záhlaví Char1"/>
    <w:basedOn w:val="Standardnpsmoodstavce"/>
    <w:uiPriority w:val="99"/>
    <w:semiHidden/>
    <w:rsid w:val="00922C58"/>
    <w:rPr>
      <w:rFonts w:ascii="Times New Roman" w:eastAsiaTheme="majorEastAsia" w:hAnsi="Times New Roman" w:cstheme="majorBidi"/>
    </w:rPr>
  </w:style>
  <w:style w:type="paragraph" w:styleId="Normlnweb">
    <w:name w:val="Normal (Web)"/>
    <w:basedOn w:val="Normln"/>
    <w:uiPriority w:val="99"/>
    <w:unhideWhenUsed/>
    <w:qFormat/>
    <w:rsid w:val="00922C58"/>
    <w:pPr>
      <w:spacing w:beforeAutospacing="1" w:afterAutospacing="1" w:line="240" w:lineRule="auto"/>
    </w:pPr>
    <w:rPr>
      <w:rFonts w:eastAsia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22C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2C58"/>
    <w:rPr>
      <w:rFonts w:ascii="Times New Roman" w:eastAsiaTheme="majorEastAsia" w:hAnsi="Times New Roman" w:cstheme="majorBid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7B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7BE2"/>
    <w:rPr>
      <w:rFonts w:ascii="Tahoma" w:eastAsiaTheme="majorEastAsi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C63EE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3EE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3EE0"/>
    <w:rPr>
      <w:rFonts w:ascii="Times New Roman" w:eastAsiaTheme="majorEastAsia" w:hAnsi="Times New Roman" w:cstheme="majorBid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63EE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63EE0"/>
    <w:rPr>
      <w:rFonts w:ascii="Times New Roman" w:eastAsiaTheme="majorEastAsia" w:hAnsi="Times New Roman" w:cstheme="maj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/>
              <a:t>Vývoj celkové návštěvnosti Moravské galerie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7.5971725125268438E-2"/>
          <c:y val="4.6274172624973596E-2"/>
          <c:w val="0.89605624690270358"/>
          <c:h val="0.742799951730171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List1!$B$1</c:f>
              <c:strCache>
                <c:ptCount val="1"/>
                <c:pt idx="0">
                  <c:v>Řada 1</c:v>
                </c:pt>
              </c:strCache>
            </c:strRef>
          </c:tx>
          <c:invertIfNegative val="0"/>
          <c:dLbls>
            <c:dLbl>
              <c:idx val="0"/>
              <c:tx>
                <c:rich>
                  <a:bodyPr/>
                  <a:lstStyle/>
                  <a:p>
                    <a:pPr>
                      <a:defRPr sz="900"/>
                    </a:pPr>
                    <a:r>
                      <a:rPr lang="en-US" sz="900">
                        <a:solidFill>
                          <a:srgbClr val="FF0000"/>
                        </a:solidFill>
                      </a:rPr>
                      <a:t>87 771</a:t>
                    </a:r>
                  </a:p>
                </c:rich>
              </c:tx>
              <c:spPr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900"/>
                      <a:t>93 146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1.659751037344398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900">
                        <a:solidFill>
                          <a:srgbClr val="FF0000"/>
                        </a:solidFill>
                      </a:rPr>
                      <a:t>110 558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900"/>
                      <a:t>121 212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tx>
                <c:rich>
                  <a:bodyPr/>
                  <a:lstStyle/>
                  <a:p>
                    <a:pPr>
                      <a:defRPr>
                        <a:solidFill>
                          <a:srgbClr val="FF0000"/>
                        </a:solidFill>
                      </a:defRPr>
                    </a:pPr>
                    <a:r>
                      <a:rPr lang="en-US" sz="900">
                        <a:solidFill>
                          <a:srgbClr val="FF0000"/>
                        </a:solidFill>
                      </a:rPr>
                      <a:t>123515</a:t>
                    </a:r>
                  </a:p>
                </c:rich>
              </c:tx>
              <c:spPr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900"/>
                      <a:t>121 189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pPr>
                      <a:defRPr>
                        <a:solidFill>
                          <a:srgbClr val="FF0000"/>
                        </a:solidFill>
                      </a:defRPr>
                    </a:pPr>
                    <a:r>
                      <a:rPr lang="en-US" sz="900">
                        <a:solidFill>
                          <a:srgbClr val="FF0000"/>
                        </a:solidFill>
                      </a:rPr>
                      <a:t>123 283</a:t>
                    </a:r>
                  </a:p>
                </c:rich>
              </c:tx>
              <c:spPr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tx>
                <c:rich>
                  <a:bodyPr/>
                  <a:lstStyle/>
                  <a:p>
                    <a:r>
                      <a:rPr lang="en-US" sz="900"/>
                      <a:t>104 697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tx>
                <c:rich>
                  <a:bodyPr/>
                  <a:lstStyle/>
                  <a:p>
                    <a:pPr>
                      <a:defRPr>
                        <a:solidFill>
                          <a:srgbClr val="FF0000"/>
                        </a:solidFill>
                      </a:defRPr>
                    </a:pPr>
                    <a:r>
                      <a:rPr lang="en-US" sz="900">
                        <a:solidFill>
                          <a:srgbClr val="FF0000"/>
                        </a:solidFill>
                      </a:rPr>
                      <a:t>109 512</a:t>
                    </a:r>
                  </a:p>
                </c:rich>
              </c:tx>
              <c:spPr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900"/>
                      <a:t>121 090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spPr/>
              <c:txPr>
                <a:bodyPr/>
                <a:lstStyle/>
                <a:p>
                  <a:pPr>
                    <a:defRPr>
                      <a:solidFill>
                        <a:srgbClr val="FF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900"/>
                      <a:t>118 944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tx>
                <c:rich>
                  <a:bodyPr/>
                  <a:lstStyle/>
                  <a:p>
                    <a:pPr>
                      <a:defRPr>
                        <a:solidFill>
                          <a:srgbClr val="FF0000"/>
                        </a:solidFill>
                      </a:defRPr>
                    </a:pPr>
                    <a:r>
                      <a:rPr lang="en-US" sz="900">
                        <a:solidFill>
                          <a:srgbClr val="FF0000"/>
                        </a:solidFill>
                      </a:rPr>
                      <a:t>90 496</a:t>
                    </a:r>
                  </a:p>
                </c:rich>
              </c:tx>
              <c:spPr/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tx>
                <c:rich>
                  <a:bodyPr/>
                  <a:lstStyle/>
                  <a:p>
                    <a:r>
                      <a:rPr lang="en-US" sz="900"/>
                      <a:t>114 976</a:t>
                    </a:r>
                  </a:p>
                </c:rich>
              </c:tx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4"/>
              <c:spPr/>
              <c:txPr>
                <a:bodyPr/>
                <a:lstStyle/>
                <a:p>
                  <a:pPr>
                    <a:defRPr b="1">
                      <a:solidFill>
                        <a:srgbClr val="FF0000"/>
                      </a:solidFill>
                    </a:defRPr>
                  </a:pPr>
                  <a:endParaRPr lang="cs-CZ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outEnd"/>
            <c:showLegendKey val="0"/>
            <c:showVal val="0"/>
            <c:showCatName val="0"/>
            <c:showSerName val="0"/>
            <c:showPercent val="0"/>
            <c:showBubbleSize val="0"/>
          </c:dLbls>
          <c:cat>
            <c:numRef>
              <c:f>List1!$A$2:$A$16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numCache>
            </c:numRef>
          </c:cat>
          <c:val>
            <c:numRef>
              <c:f>List1!$B$2:$B$16</c:f>
              <c:numCache>
                <c:formatCode>#,##0</c:formatCode>
                <c:ptCount val="15"/>
                <c:pt idx="0">
                  <c:v>87771</c:v>
                </c:pt>
                <c:pt idx="1">
                  <c:v>93146</c:v>
                </c:pt>
                <c:pt idx="2">
                  <c:v>110558</c:v>
                </c:pt>
                <c:pt idx="3">
                  <c:v>121212</c:v>
                </c:pt>
                <c:pt idx="4" formatCode="General">
                  <c:v>123515</c:v>
                </c:pt>
                <c:pt idx="5">
                  <c:v>121189</c:v>
                </c:pt>
                <c:pt idx="6">
                  <c:v>123283</c:v>
                </c:pt>
                <c:pt idx="7">
                  <c:v>104697</c:v>
                </c:pt>
                <c:pt idx="8">
                  <c:v>109512</c:v>
                </c:pt>
                <c:pt idx="9">
                  <c:v>121090</c:v>
                </c:pt>
                <c:pt idx="10">
                  <c:v>106187</c:v>
                </c:pt>
                <c:pt idx="11">
                  <c:v>118944</c:v>
                </c:pt>
                <c:pt idx="12">
                  <c:v>90496</c:v>
                </c:pt>
                <c:pt idx="13">
                  <c:v>114976</c:v>
                </c:pt>
                <c:pt idx="14">
                  <c:v>139734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*uzavřen Pražákův palác</c:v>
                </c:pt>
              </c:strCache>
            </c:strRef>
          </c:tx>
          <c:invertIfNegative val="0"/>
          <c:cat>
            <c:numRef>
              <c:f>List1!$A$2:$A$16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numCache>
            </c:numRef>
          </c:cat>
          <c:val>
            <c:numRef>
              <c:f>List1!#ODKAZ!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**uzavřena stálá expozice v Uměleckoprůmyslovém muzeu</c:v>
                </c:pt>
              </c:strCache>
            </c:strRef>
          </c:tx>
          <c:invertIfNegative val="0"/>
          <c:cat>
            <c:numRef>
              <c:f>List1!$A$2:$A$16</c:f>
              <c:numCache>
                <c:formatCode>General</c:formatCode>
                <c:ptCount val="15"/>
                <c:pt idx="0">
                  <c:v>2003</c:v>
                </c:pt>
                <c:pt idx="1">
                  <c:v>2004</c:v>
                </c:pt>
                <c:pt idx="2">
                  <c:v>2005</c:v>
                </c:pt>
                <c:pt idx="3">
                  <c:v>2006</c:v>
                </c:pt>
                <c:pt idx="4">
                  <c:v>2007</c:v>
                </c:pt>
                <c:pt idx="5">
                  <c:v>2008</c:v>
                </c:pt>
                <c:pt idx="6">
                  <c:v>2009</c:v>
                </c:pt>
                <c:pt idx="7">
                  <c:v>2010</c:v>
                </c:pt>
                <c:pt idx="8">
                  <c:v>2011</c:v>
                </c:pt>
                <c:pt idx="9">
                  <c:v>2012</c:v>
                </c:pt>
                <c:pt idx="10">
                  <c:v>2013</c:v>
                </c:pt>
                <c:pt idx="11">
                  <c:v>2014</c:v>
                </c:pt>
                <c:pt idx="12">
                  <c:v>2015</c:v>
                </c:pt>
                <c:pt idx="13">
                  <c:v>2016</c:v>
                </c:pt>
                <c:pt idx="14">
                  <c:v>2017</c:v>
                </c:pt>
              </c:numCache>
            </c:numRef>
          </c:cat>
          <c:val>
            <c:numRef>
              <c:f>List1!$D$2:$D$16</c:f>
              <c:numCache>
                <c:formatCode>General</c:formatCode>
                <c:ptCount val="1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79293952"/>
        <c:axId val="279296640"/>
      </c:barChart>
      <c:catAx>
        <c:axId val="279293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279296640"/>
        <c:crosses val="autoZero"/>
        <c:auto val="1"/>
        <c:lblAlgn val="ctr"/>
        <c:lblOffset val="100"/>
        <c:noMultiLvlLbl val="0"/>
      </c:catAx>
      <c:valAx>
        <c:axId val="279296640"/>
        <c:scaling>
          <c:orientation val="minMax"/>
        </c:scaling>
        <c:delete val="0"/>
        <c:axPos val="l"/>
        <c:majorGridlines/>
        <c:numFmt formatCode="#,##0" sourceLinked="1"/>
        <c:majorTickMark val="out"/>
        <c:minorTickMark val="none"/>
        <c:tickLblPos val="nextTo"/>
        <c:crossAx val="27929395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E86CF3-E4C3-4441-9959-43BCB7F0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158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Paučo Michaela</dc:creator>
  <cp:lastModifiedBy>Paučo Michaela</cp:lastModifiedBy>
  <cp:revision>5</cp:revision>
  <cp:lastPrinted>2018-01-05T10:17:00Z</cp:lastPrinted>
  <dcterms:created xsi:type="dcterms:W3CDTF">2018-01-05T07:57:00Z</dcterms:created>
  <dcterms:modified xsi:type="dcterms:W3CDTF">2018-01-05T10:29:00Z</dcterms:modified>
</cp:coreProperties>
</file>