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A" w:rsidRDefault="00A300F9" w:rsidP="00F84A8D">
      <w:pPr>
        <w:pStyle w:val="Nadpis1"/>
        <w:spacing w:line="240" w:lineRule="auto"/>
      </w:pPr>
      <w:r>
        <w:rPr>
          <w:noProof/>
          <w:lang w:eastAsia="cs-CZ"/>
        </w:rPr>
        <w:drawing>
          <wp:inline distT="0" distB="0" distL="0" distR="0" wp14:anchorId="32062B03" wp14:editId="31ACCFC2">
            <wp:extent cx="5753100" cy="504825"/>
            <wp:effectExtent l="0" t="0" r="0" b="9525"/>
            <wp:docPr id="1" name="Obrázek 1" descr="C:\Users\kneslova\Documents\logo MG a zřizovací listina\mg_znacka_jednorade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slova\Documents\logo MG a zřizovací listina\mg_znacka_jednoradek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C" w:rsidRDefault="00882DCC" w:rsidP="00882DCC"/>
    <w:p w:rsidR="00882DCC" w:rsidRDefault="00882DCC" w:rsidP="00882DCC"/>
    <w:p w:rsidR="00882DCC" w:rsidRDefault="00882DCC" w:rsidP="00882DCC"/>
    <w:p w:rsidR="00882DCC" w:rsidRDefault="00882DCC" w:rsidP="00882DCC"/>
    <w:p w:rsidR="00882DCC" w:rsidRDefault="00882DCC" w:rsidP="00882DCC"/>
    <w:p w:rsidR="00882DCC" w:rsidRDefault="00882DCC" w:rsidP="00882D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P R Á V A</w:t>
      </w:r>
    </w:p>
    <w:p w:rsidR="00882DCC" w:rsidRDefault="00882DCC" w:rsidP="00882D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finančním hospodaření Moravské galerie v Brně</w:t>
      </w:r>
    </w:p>
    <w:p w:rsidR="00882DCC" w:rsidRDefault="00882DCC" w:rsidP="00882D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2020</w:t>
      </w:r>
    </w:p>
    <w:p w:rsidR="00882DCC" w:rsidRDefault="00882DCC" w:rsidP="00882DCC">
      <w:pPr>
        <w:jc w:val="center"/>
        <w:rPr>
          <w:b/>
          <w:sz w:val="36"/>
          <w:szCs w:val="36"/>
        </w:rPr>
      </w:pPr>
    </w:p>
    <w:p w:rsidR="00882DCC" w:rsidRDefault="00882DCC" w:rsidP="00882DCC">
      <w:pPr>
        <w:jc w:val="center"/>
        <w:rPr>
          <w:b/>
          <w:sz w:val="36"/>
          <w:szCs w:val="36"/>
        </w:rPr>
      </w:pPr>
    </w:p>
    <w:p w:rsidR="00882DCC" w:rsidRDefault="00882DCC" w:rsidP="00882DCC">
      <w:pPr>
        <w:jc w:val="center"/>
        <w:rPr>
          <w:b/>
          <w:sz w:val="36"/>
          <w:szCs w:val="36"/>
        </w:rPr>
      </w:pPr>
    </w:p>
    <w:p w:rsidR="00882DCC" w:rsidRDefault="00882DCC" w:rsidP="00882DCC">
      <w:pPr>
        <w:jc w:val="center"/>
        <w:rPr>
          <w:b/>
          <w:sz w:val="36"/>
          <w:szCs w:val="36"/>
        </w:rPr>
      </w:pPr>
    </w:p>
    <w:p w:rsidR="00882DCC" w:rsidRPr="00882DCC" w:rsidRDefault="00882DCC" w:rsidP="00882DC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                         </w:t>
      </w:r>
      <w:proofErr w:type="gramStart"/>
      <w:r w:rsidRPr="00882DCC">
        <w:rPr>
          <w:b/>
          <w:sz w:val="32"/>
          <w:szCs w:val="32"/>
        </w:rPr>
        <w:t>Jan  P r e s </w:t>
      </w:r>
      <w:proofErr w:type="spellStart"/>
      <w:r w:rsidRPr="00882DCC">
        <w:rPr>
          <w:b/>
          <w:sz w:val="32"/>
          <w:szCs w:val="32"/>
        </w:rPr>
        <w:t>s</w:t>
      </w:r>
      <w:proofErr w:type="spellEnd"/>
      <w:proofErr w:type="gramEnd"/>
    </w:p>
    <w:p w:rsidR="00882DCC" w:rsidRPr="00882DCC" w:rsidRDefault="00882DCC" w:rsidP="00882DCC">
      <w:pPr>
        <w:rPr>
          <w:b/>
          <w:sz w:val="32"/>
          <w:szCs w:val="32"/>
        </w:rPr>
      </w:pPr>
      <w:r w:rsidRPr="00882DCC">
        <w:rPr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 xml:space="preserve">        </w:t>
      </w:r>
      <w:r w:rsidRPr="00882DCC">
        <w:rPr>
          <w:b/>
          <w:sz w:val="32"/>
          <w:szCs w:val="32"/>
        </w:rPr>
        <w:t>ředitel Moravské galerie v Brně</w:t>
      </w:r>
    </w:p>
    <w:p w:rsidR="00882DCC" w:rsidRPr="00882DCC" w:rsidRDefault="00882DCC" w:rsidP="00882DCC">
      <w:pPr>
        <w:rPr>
          <w:b/>
          <w:sz w:val="32"/>
          <w:szCs w:val="32"/>
        </w:rPr>
      </w:pPr>
    </w:p>
    <w:p w:rsidR="00882DCC" w:rsidRDefault="00882DCC" w:rsidP="00882DCC">
      <w:pPr>
        <w:rPr>
          <w:b/>
          <w:sz w:val="32"/>
          <w:szCs w:val="32"/>
        </w:rPr>
      </w:pPr>
    </w:p>
    <w:p w:rsidR="00882DCC" w:rsidRPr="00882DCC" w:rsidRDefault="00882DCC" w:rsidP="00882DCC">
      <w:pPr>
        <w:rPr>
          <w:b/>
          <w:sz w:val="32"/>
          <w:szCs w:val="32"/>
        </w:rPr>
      </w:pPr>
    </w:p>
    <w:p w:rsidR="00882DCC" w:rsidRPr="00954324" w:rsidRDefault="00882DCC" w:rsidP="00882DCC">
      <w:pPr>
        <w:rPr>
          <w:b/>
          <w:sz w:val="24"/>
          <w:szCs w:val="24"/>
        </w:rPr>
      </w:pPr>
      <w:r w:rsidRPr="00882DCC">
        <w:rPr>
          <w:b/>
          <w:sz w:val="32"/>
          <w:szCs w:val="32"/>
        </w:rPr>
        <w:t xml:space="preserve">          </w:t>
      </w:r>
      <w:r w:rsidRPr="00954324">
        <w:rPr>
          <w:b/>
          <w:sz w:val="24"/>
          <w:szCs w:val="24"/>
        </w:rPr>
        <w:t xml:space="preserve"> V Brně dne 11.</w:t>
      </w:r>
      <w:r w:rsidR="00BD4D14">
        <w:rPr>
          <w:b/>
          <w:sz w:val="24"/>
          <w:szCs w:val="24"/>
        </w:rPr>
        <w:t xml:space="preserve"> </w:t>
      </w:r>
      <w:r w:rsidRPr="00954324">
        <w:rPr>
          <w:b/>
          <w:sz w:val="24"/>
          <w:szCs w:val="24"/>
        </w:rPr>
        <w:t>února 2020</w:t>
      </w:r>
    </w:p>
    <w:p w:rsidR="00882DCC" w:rsidRPr="00954324" w:rsidRDefault="00882DCC" w:rsidP="00882DCC">
      <w:pPr>
        <w:spacing w:after="0"/>
        <w:rPr>
          <w:b/>
          <w:sz w:val="24"/>
          <w:szCs w:val="24"/>
        </w:rPr>
      </w:pPr>
      <w:r w:rsidRPr="00954324">
        <w:rPr>
          <w:b/>
          <w:sz w:val="24"/>
          <w:szCs w:val="24"/>
        </w:rPr>
        <w:t xml:space="preserve">            </w:t>
      </w:r>
      <w:r w:rsidR="00954324">
        <w:rPr>
          <w:b/>
          <w:sz w:val="24"/>
          <w:szCs w:val="24"/>
        </w:rPr>
        <w:t xml:space="preserve">  </w:t>
      </w:r>
      <w:r w:rsidRPr="00954324">
        <w:rPr>
          <w:b/>
          <w:sz w:val="24"/>
          <w:szCs w:val="24"/>
        </w:rPr>
        <w:t>Zpracovala:  Ing. Marie Kočařová</w:t>
      </w:r>
    </w:p>
    <w:p w:rsidR="00882DCC" w:rsidRPr="00954324" w:rsidRDefault="00882DCC" w:rsidP="00882DCC">
      <w:pPr>
        <w:spacing w:after="0"/>
        <w:rPr>
          <w:b/>
          <w:sz w:val="24"/>
          <w:szCs w:val="24"/>
        </w:rPr>
      </w:pPr>
      <w:r w:rsidRPr="00954324">
        <w:rPr>
          <w:b/>
          <w:sz w:val="24"/>
          <w:szCs w:val="24"/>
        </w:rPr>
        <w:t xml:space="preserve">                         </w:t>
      </w:r>
      <w:r w:rsidR="00954324">
        <w:rPr>
          <w:b/>
          <w:sz w:val="24"/>
          <w:szCs w:val="24"/>
        </w:rPr>
        <w:t xml:space="preserve">  </w:t>
      </w:r>
      <w:r w:rsidRPr="00954324">
        <w:rPr>
          <w:b/>
          <w:sz w:val="24"/>
          <w:szCs w:val="24"/>
        </w:rPr>
        <w:t xml:space="preserve">          vedoucí ekonomického oddělení</w:t>
      </w:r>
    </w:p>
    <w:p w:rsidR="00882DCC" w:rsidRDefault="00882DCC" w:rsidP="00882DCC">
      <w:pPr>
        <w:spacing w:after="0"/>
        <w:rPr>
          <w:b/>
          <w:sz w:val="32"/>
          <w:szCs w:val="32"/>
        </w:rPr>
      </w:pPr>
    </w:p>
    <w:p w:rsidR="0042116E" w:rsidRDefault="0042116E" w:rsidP="00882DCC">
      <w:pPr>
        <w:spacing w:after="0"/>
        <w:rPr>
          <w:b/>
          <w:sz w:val="32"/>
          <w:szCs w:val="32"/>
        </w:rPr>
      </w:pPr>
    </w:p>
    <w:p w:rsidR="0042116E" w:rsidRDefault="0042116E" w:rsidP="00882DCC">
      <w:pPr>
        <w:spacing w:after="0"/>
        <w:rPr>
          <w:b/>
          <w:sz w:val="32"/>
          <w:szCs w:val="32"/>
        </w:rPr>
      </w:pPr>
    </w:p>
    <w:p w:rsidR="00882DCC" w:rsidRDefault="00882DCC" w:rsidP="00882DC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Obsah zprávy o finančním hospodaření za rok 2020</w:t>
      </w:r>
    </w:p>
    <w:p w:rsidR="00882DCC" w:rsidRDefault="00882DCC" w:rsidP="00882DCC">
      <w:pPr>
        <w:spacing w:after="0"/>
        <w:rPr>
          <w:b/>
          <w:sz w:val="32"/>
          <w:szCs w:val="32"/>
        </w:rPr>
      </w:pPr>
    </w:p>
    <w:p w:rsidR="00882DCC" w:rsidRDefault="00882DCC" w:rsidP="00882DCC">
      <w:pPr>
        <w:spacing w:after="0"/>
        <w:rPr>
          <w:sz w:val="24"/>
          <w:szCs w:val="24"/>
        </w:rPr>
      </w:pPr>
    </w:p>
    <w:p w:rsidR="00882DCC" w:rsidRPr="00882DCC" w:rsidRDefault="00882DCC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Výsledek hospodaření v hlavní činnosti</w:t>
      </w:r>
    </w:p>
    <w:p w:rsidR="00E210F8" w:rsidRPr="002D0CCF" w:rsidRDefault="00882DCC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Výsledek hospodaření z jiné (hospodářské) činnosti</w:t>
      </w:r>
    </w:p>
    <w:p w:rsidR="002D0CCF" w:rsidRPr="002D0CCF" w:rsidRDefault="002D0CCF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Porovnání plánovaného rozpočtu a dosažené skutečnosti</w:t>
      </w:r>
    </w:p>
    <w:p w:rsidR="002D0CCF" w:rsidRPr="002D0CCF" w:rsidRDefault="002D0CCF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Výdaje na zahraniční pracovní cesty</w:t>
      </w:r>
    </w:p>
    <w:p w:rsidR="002D0CCF" w:rsidRPr="002D0CCF" w:rsidRDefault="002D0CCF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Mimorozpočtové zdroje financování</w:t>
      </w:r>
    </w:p>
    <w:p w:rsidR="002D0CCF" w:rsidRPr="002D0CCF" w:rsidRDefault="002D0CCF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Fondy organizace</w:t>
      </w:r>
    </w:p>
    <w:p w:rsidR="002D0CCF" w:rsidRPr="002D0CCF" w:rsidRDefault="002D0CCF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Mzdové náklady</w:t>
      </w:r>
    </w:p>
    <w:p w:rsidR="002D0CCF" w:rsidRPr="002D0CCF" w:rsidRDefault="002D0CCF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Bezúplatné převody majetku</w:t>
      </w:r>
    </w:p>
    <w:p w:rsidR="002D0CCF" w:rsidRPr="002D0CCF" w:rsidRDefault="002D0CCF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Výsledky vnitřních a vnějších kontrol</w:t>
      </w:r>
    </w:p>
    <w:p w:rsidR="002D0CCF" w:rsidRPr="002D0CCF" w:rsidRDefault="002D0CCF" w:rsidP="00882DCC">
      <w:pPr>
        <w:pStyle w:val="Odstavecseseznamem"/>
        <w:numPr>
          <w:ilvl w:val="0"/>
          <w:numId w:val="4"/>
        </w:numPr>
        <w:spacing w:after="0"/>
        <w:rPr>
          <w:b/>
          <w:sz w:val="32"/>
          <w:szCs w:val="32"/>
        </w:rPr>
      </w:pPr>
      <w:r>
        <w:rPr>
          <w:sz w:val="24"/>
          <w:szCs w:val="24"/>
        </w:rPr>
        <w:t>Realizace projektů (kulturní aktivity, VISK a další)</w:t>
      </w:r>
    </w:p>
    <w:p w:rsidR="002D0CCF" w:rsidRDefault="002D0CCF" w:rsidP="002D0CCF">
      <w:pPr>
        <w:spacing w:after="0"/>
        <w:ind w:left="360"/>
        <w:rPr>
          <w:b/>
          <w:sz w:val="32"/>
          <w:szCs w:val="32"/>
        </w:rPr>
      </w:pPr>
    </w:p>
    <w:p w:rsidR="002D0CCF" w:rsidRDefault="002D0CCF" w:rsidP="002D0CCF">
      <w:pPr>
        <w:spacing w:after="0"/>
        <w:ind w:left="360"/>
        <w:rPr>
          <w:b/>
          <w:sz w:val="32"/>
          <w:szCs w:val="32"/>
        </w:rPr>
      </w:pPr>
    </w:p>
    <w:p w:rsidR="002D0CCF" w:rsidRDefault="002D0CCF" w:rsidP="002D0CCF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Přílohy Zprávy: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1 – Výdaje na zahraniční pracovní cesty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2 – Bezúplatné převody majetku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3 – Fondy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4 – Mimorozpočtové zdroje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5 – Soupis vnitřních a vnějších kontrol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Příloha č. 6 – Projekty financované ministerstvem kultury (kulturní </w:t>
      </w:r>
      <w:proofErr w:type="spellStart"/>
      <w:r>
        <w:rPr>
          <w:sz w:val="24"/>
          <w:szCs w:val="24"/>
        </w:rPr>
        <w:t>aktivity,VISK</w:t>
      </w:r>
      <w:proofErr w:type="spellEnd"/>
      <w:r>
        <w:rPr>
          <w:sz w:val="24"/>
          <w:szCs w:val="24"/>
        </w:rPr>
        <w:t>)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</w:p>
    <w:p w:rsidR="002D0CCF" w:rsidRDefault="002D0CCF" w:rsidP="002D0CCF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Zvláštní přílohy: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7 – Vývoj nákladů, výnosů a výsledku hospodaření v pětiletém období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8 – Vývoj osobních a věcných nákladů v pětiletém období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9 – Vývoj výnosů v období posledních pěti let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10 – Zapojení fondů na celkových zdrojích financování v pětiletém období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11 – Přehled akvizic a zdrojů financování od roku 2001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12 – Porovnání rozpočtu a dosažené skutečnosti za rok 2020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13 – Náklady a výnosy mimorozpočtových zdrojů za rok 2020</w:t>
      </w:r>
    </w:p>
    <w:p w:rsidR="002D0CCF" w:rsidRDefault="002D0CCF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14 – Vývoj mzdových nákladů a průměrného platu</w:t>
      </w:r>
      <w:r w:rsidR="0042116E">
        <w:rPr>
          <w:sz w:val="24"/>
          <w:szCs w:val="24"/>
        </w:rPr>
        <w:t xml:space="preserve"> od roku 2010</w:t>
      </w:r>
    </w:p>
    <w:p w:rsidR="0042116E" w:rsidRDefault="0042116E" w:rsidP="002D0CC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Příloha č. 15 – Čerpání prostředků IROP UMPRUM</w:t>
      </w:r>
    </w:p>
    <w:p w:rsidR="0042116E" w:rsidRDefault="0042116E" w:rsidP="002D0CCF">
      <w:pPr>
        <w:spacing w:after="0"/>
        <w:ind w:left="360"/>
        <w:rPr>
          <w:sz w:val="24"/>
          <w:szCs w:val="24"/>
        </w:rPr>
      </w:pPr>
    </w:p>
    <w:p w:rsidR="0042116E" w:rsidRDefault="0042116E" w:rsidP="002D0CCF">
      <w:pPr>
        <w:spacing w:after="0"/>
        <w:ind w:left="360"/>
        <w:rPr>
          <w:sz w:val="24"/>
          <w:szCs w:val="24"/>
        </w:rPr>
      </w:pPr>
    </w:p>
    <w:p w:rsidR="0042116E" w:rsidRDefault="0042116E" w:rsidP="002D0CCF">
      <w:pPr>
        <w:spacing w:after="0"/>
        <w:ind w:left="360"/>
        <w:rPr>
          <w:sz w:val="24"/>
          <w:szCs w:val="24"/>
        </w:rPr>
      </w:pPr>
    </w:p>
    <w:p w:rsidR="0042116E" w:rsidRDefault="0042116E" w:rsidP="002D0CCF">
      <w:pPr>
        <w:spacing w:after="0"/>
        <w:ind w:left="360"/>
        <w:rPr>
          <w:sz w:val="24"/>
          <w:szCs w:val="24"/>
        </w:rPr>
      </w:pPr>
    </w:p>
    <w:p w:rsidR="0042116E" w:rsidRPr="0042116E" w:rsidRDefault="0042116E" w:rsidP="0042116E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Výsledek hospodaření za rok 2020 v hlavní činnosti</w:t>
      </w:r>
    </w:p>
    <w:p w:rsidR="0042116E" w:rsidRDefault="0042116E" w:rsidP="0042116E">
      <w:pPr>
        <w:pStyle w:val="Odstavecseseznamem"/>
        <w:spacing w:after="0"/>
        <w:rPr>
          <w:sz w:val="24"/>
          <w:szCs w:val="24"/>
        </w:rPr>
      </w:pPr>
    </w:p>
    <w:p w:rsidR="0042116E" w:rsidRDefault="0042116E" w:rsidP="0042116E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Moravská galerie v Brně vykázala v roce 2020 vyrovnaný výsledek hospodaření s objemem nákladů a výnosů ve výši 114 526 900,04 Kč. V posledním období bylo dosaženo vyrovnaného výsledku hospodaření také v letech 2015, 2018 a 2019, </w:t>
      </w:r>
    </w:p>
    <w:p w:rsidR="0042116E" w:rsidRDefault="0042116E" w:rsidP="0042116E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ostatních letech byl vyčíslen kladný výsledek hospodaření.</w:t>
      </w:r>
    </w:p>
    <w:p w:rsidR="0042116E" w:rsidRDefault="0042116E" w:rsidP="0042116E">
      <w:pPr>
        <w:pStyle w:val="Odstavecseseznamem"/>
        <w:spacing w:after="0"/>
        <w:rPr>
          <w:sz w:val="24"/>
          <w:szCs w:val="24"/>
        </w:rPr>
      </w:pPr>
    </w:p>
    <w:p w:rsidR="00065120" w:rsidRDefault="0042116E" w:rsidP="0042116E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Hospodaření Moravské galerie v Brně v roce 2020, jako i všech ostatních institucí, byl ovlivněn zcela neočekávanými skutečnosti, na které nikdo nebyl připraven a jejíž dopad musel být řešen operativně mimořádnými opatřeními. Epidemie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na dlouhou dobu </w:t>
      </w:r>
      <w:r w:rsidR="005B1168">
        <w:rPr>
          <w:sz w:val="24"/>
          <w:szCs w:val="24"/>
        </w:rPr>
        <w:t>uzavřela dveře všech muzeí, galerií, divadel a koncertních sálů a to jak v jarním, tak podzimním a zimním období. Vyhlášení nouzového stavu omezilo pracovní kontakty zaměstnanců</w:t>
      </w:r>
      <w:r w:rsidR="00C24E90">
        <w:rPr>
          <w:sz w:val="24"/>
          <w:szCs w:val="24"/>
        </w:rPr>
        <w:t>,</w:t>
      </w:r>
      <w:r w:rsidR="005B1168">
        <w:rPr>
          <w:sz w:val="24"/>
          <w:szCs w:val="24"/>
        </w:rPr>
        <w:t xml:space="preserve"> a přestože byla činnost galerie utlumena, její chod nemohl být zcela zastaven. Kromě zajištění provozního a ekonomického chodu instituce, byly připravován</w:t>
      </w:r>
      <w:r w:rsidR="00C24E90">
        <w:rPr>
          <w:sz w:val="24"/>
          <w:szCs w:val="24"/>
        </w:rPr>
        <w:t>y</w:t>
      </w:r>
      <w:r w:rsidR="00B92A5F">
        <w:rPr>
          <w:sz w:val="24"/>
          <w:szCs w:val="24"/>
        </w:rPr>
        <w:t xml:space="preserve"> on-line vzdělávací programy, </w:t>
      </w:r>
      <w:r w:rsidR="005B1168">
        <w:rPr>
          <w:sz w:val="24"/>
          <w:szCs w:val="24"/>
        </w:rPr>
        <w:t>došl</w:t>
      </w:r>
      <w:r w:rsidR="00BD4D14">
        <w:rPr>
          <w:sz w:val="24"/>
          <w:szCs w:val="24"/>
        </w:rPr>
        <w:t>o k rozšíření prodeje katalogů,</w:t>
      </w:r>
      <w:r w:rsidR="005B1168">
        <w:rPr>
          <w:sz w:val="24"/>
          <w:szCs w:val="24"/>
        </w:rPr>
        <w:t xml:space="preserve"> publikací</w:t>
      </w:r>
      <w:r w:rsidR="002F6D00">
        <w:rPr>
          <w:sz w:val="24"/>
          <w:szCs w:val="24"/>
        </w:rPr>
        <w:t xml:space="preserve"> a doplňkového zboží</w:t>
      </w:r>
      <w:r w:rsidR="005B1168">
        <w:rPr>
          <w:sz w:val="24"/>
          <w:szCs w:val="24"/>
        </w:rPr>
        <w:t xml:space="preserve"> na e-</w:t>
      </w:r>
      <w:proofErr w:type="spellStart"/>
      <w:r w:rsidR="005B1168">
        <w:rPr>
          <w:sz w:val="24"/>
          <w:szCs w:val="24"/>
        </w:rPr>
        <w:t>shopu</w:t>
      </w:r>
      <w:proofErr w:type="spellEnd"/>
      <w:r w:rsidR="005B1168">
        <w:rPr>
          <w:sz w:val="24"/>
          <w:szCs w:val="24"/>
        </w:rPr>
        <w:t>, veřejnost</w:t>
      </w:r>
      <w:r w:rsidR="00C24E90">
        <w:rPr>
          <w:sz w:val="24"/>
          <w:szCs w:val="24"/>
        </w:rPr>
        <w:t xml:space="preserve"> byla směřována</w:t>
      </w:r>
      <w:r w:rsidR="005B1168">
        <w:rPr>
          <w:sz w:val="24"/>
          <w:szCs w:val="24"/>
        </w:rPr>
        <w:t xml:space="preserve"> k</w:t>
      </w:r>
      <w:r w:rsidR="00C24E90">
        <w:rPr>
          <w:sz w:val="24"/>
          <w:szCs w:val="24"/>
        </w:rPr>
        <w:t xml:space="preserve"> možnosti </w:t>
      </w:r>
      <w:r w:rsidR="005B1168">
        <w:rPr>
          <w:sz w:val="24"/>
          <w:szCs w:val="24"/>
        </w:rPr>
        <w:t>internetové</w:t>
      </w:r>
      <w:r w:rsidR="00C24E90">
        <w:rPr>
          <w:sz w:val="24"/>
          <w:szCs w:val="24"/>
        </w:rPr>
        <w:t>ho</w:t>
      </w:r>
      <w:r w:rsidR="005B1168">
        <w:rPr>
          <w:sz w:val="24"/>
          <w:szCs w:val="24"/>
        </w:rPr>
        <w:t> prohlížení sbírek galerie</w:t>
      </w:r>
      <w:r w:rsidR="00C24E90">
        <w:rPr>
          <w:sz w:val="24"/>
          <w:szCs w:val="24"/>
        </w:rPr>
        <w:t xml:space="preserve"> a byla připravena řada dalších akcí s výhledem na znovuotevření galerie.</w:t>
      </w:r>
      <w:r w:rsidR="00C1321C">
        <w:rPr>
          <w:sz w:val="24"/>
          <w:szCs w:val="24"/>
        </w:rPr>
        <w:t xml:space="preserve"> </w:t>
      </w:r>
      <w:r w:rsidR="002F6D00">
        <w:rPr>
          <w:sz w:val="24"/>
          <w:szCs w:val="24"/>
        </w:rPr>
        <w:t xml:space="preserve"> Z důvodu nuceného uzavření galerie musel být přehodnocen výstavní harmonogram na rok 2020 s tím, že jarní termíny otevření nových výstav byly přesunuty do podzimního období a výstavy původně plánované na podzim byly přesunuty do roku 2021. </w:t>
      </w:r>
      <w:r w:rsidR="00C1321C">
        <w:rPr>
          <w:sz w:val="24"/>
          <w:szCs w:val="24"/>
        </w:rPr>
        <w:t>Ve</w:t>
      </w:r>
      <w:r w:rsidR="00BD4D14">
        <w:rPr>
          <w:sz w:val="24"/>
          <w:szCs w:val="24"/>
        </w:rPr>
        <w:t>škeré činnosti v době nouzového stavu</w:t>
      </w:r>
      <w:r w:rsidR="00C1321C">
        <w:rPr>
          <w:sz w:val="24"/>
          <w:szCs w:val="24"/>
        </w:rPr>
        <w:t xml:space="preserve"> byly prováděny </w:t>
      </w:r>
      <w:r w:rsidR="00065120">
        <w:rPr>
          <w:sz w:val="24"/>
          <w:szCs w:val="24"/>
        </w:rPr>
        <w:t>za dodržování všech zásad zdravotní bezpečnosti, kdy dle možnosti pracovali někteří zaměstnanci z domova nebo se střídali na směnách, což bylo náročné i z hlediska organizace jejich práce.</w:t>
      </w:r>
    </w:p>
    <w:p w:rsidR="0042116E" w:rsidRDefault="005B1168" w:rsidP="0042116E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4E90">
        <w:rPr>
          <w:sz w:val="24"/>
          <w:szCs w:val="24"/>
        </w:rPr>
        <w:t>V</w:t>
      </w:r>
      <w:r>
        <w:rPr>
          <w:sz w:val="24"/>
          <w:szCs w:val="24"/>
        </w:rPr>
        <w:t xml:space="preserve">  období </w:t>
      </w:r>
      <w:r w:rsidR="00065120">
        <w:rPr>
          <w:sz w:val="24"/>
          <w:szCs w:val="24"/>
        </w:rPr>
        <w:t xml:space="preserve">letního </w:t>
      </w:r>
      <w:r>
        <w:rPr>
          <w:sz w:val="24"/>
          <w:szCs w:val="24"/>
        </w:rPr>
        <w:t xml:space="preserve">uvolnění organizovala </w:t>
      </w:r>
      <w:r w:rsidR="00C24E90">
        <w:rPr>
          <w:sz w:val="24"/>
          <w:szCs w:val="24"/>
        </w:rPr>
        <w:t xml:space="preserve">galerie </w:t>
      </w:r>
      <w:r>
        <w:rPr>
          <w:sz w:val="24"/>
          <w:szCs w:val="24"/>
        </w:rPr>
        <w:t>vzdělávací kurzy a letní tábory pro děti</w:t>
      </w:r>
      <w:r w:rsidR="00C24E90">
        <w:rPr>
          <w:sz w:val="24"/>
          <w:szCs w:val="24"/>
        </w:rPr>
        <w:t xml:space="preserve"> a byly připraveny a otevřeny dvě nové výstavy: </w:t>
      </w:r>
      <w:r w:rsidR="00C1321C">
        <w:rPr>
          <w:sz w:val="24"/>
          <w:szCs w:val="24"/>
        </w:rPr>
        <w:t>souborn</w:t>
      </w:r>
      <w:r w:rsidR="00065120">
        <w:rPr>
          <w:sz w:val="24"/>
          <w:szCs w:val="24"/>
        </w:rPr>
        <w:t>á</w:t>
      </w:r>
      <w:r w:rsidR="00C1321C">
        <w:rPr>
          <w:sz w:val="24"/>
          <w:szCs w:val="24"/>
        </w:rPr>
        <w:t xml:space="preserve"> výstav</w:t>
      </w:r>
      <w:r w:rsidR="00065120">
        <w:rPr>
          <w:sz w:val="24"/>
          <w:szCs w:val="24"/>
        </w:rPr>
        <w:t>a</w:t>
      </w:r>
      <w:r w:rsidR="00C1321C">
        <w:rPr>
          <w:sz w:val="24"/>
          <w:szCs w:val="24"/>
        </w:rPr>
        <w:t xml:space="preserve"> zakladatele brněnského bienále grafického designu</w:t>
      </w:r>
      <w:r w:rsidR="00065120">
        <w:rPr>
          <w:sz w:val="24"/>
          <w:szCs w:val="24"/>
        </w:rPr>
        <w:t xml:space="preserve"> s názvem</w:t>
      </w:r>
      <w:r w:rsidR="00C1321C">
        <w:rPr>
          <w:sz w:val="24"/>
          <w:szCs w:val="24"/>
        </w:rPr>
        <w:t xml:space="preserve"> „Jan </w:t>
      </w:r>
      <w:proofErr w:type="spellStart"/>
      <w:r w:rsidR="00C1321C">
        <w:rPr>
          <w:sz w:val="24"/>
          <w:szCs w:val="24"/>
        </w:rPr>
        <w:t>Rajlich</w:t>
      </w:r>
      <w:proofErr w:type="spellEnd"/>
      <w:r w:rsidR="00C1321C">
        <w:rPr>
          <w:sz w:val="24"/>
          <w:szCs w:val="24"/>
        </w:rPr>
        <w:t xml:space="preserve"> starší“ a první část souborného výstavního projektu „Rafani“.</w:t>
      </w:r>
      <w:r>
        <w:rPr>
          <w:sz w:val="24"/>
          <w:szCs w:val="24"/>
        </w:rPr>
        <w:t xml:space="preserve"> </w:t>
      </w:r>
    </w:p>
    <w:p w:rsidR="00065120" w:rsidRDefault="00065120" w:rsidP="0042116E">
      <w:pPr>
        <w:pStyle w:val="Odstavecseseznamem"/>
        <w:spacing w:after="0"/>
        <w:rPr>
          <w:sz w:val="24"/>
          <w:szCs w:val="24"/>
        </w:rPr>
      </w:pPr>
    </w:p>
    <w:p w:rsidR="00065120" w:rsidRDefault="00065120" w:rsidP="003E6F4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I přes značný pokles</w:t>
      </w:r>
      <w:r w:rsidR="003C5103">
        <w:rPr>
          <w:sz w:val="24"/>
          <w:szCs w:val="24"/>
        </w:rPr>
        <w:t xml:space="preserve"> výnosů z vlastní činnosti, nebyl propad tak zásadní, jako v oblasti užitého umění. Proti původnímu rozpočtu došlo k poklesu výno</w:t>
      </w:r>
      <w:r w:rsidR="003E6F4B">
        <w:rPr>
          <w:sz w:val="24"/>
          <w:szCs w:val="24"/>
        </w:rPr>
        <w:t>sů cca o 50 %, což ve finančním vyjádření znamenalo propad o 3 818 000 Kč.</w:t>
      </w:r>
      <w:r w:rsidR="003C5103">
        <w:rPr>
          <w:sz w:val="24"/>
          <w:szCs w:val="24"/>
        </w:rPr>
        <w:t xml:space="preserve"> </w:t>
      </w:r>
      <w:r w:rsidR="003E6F4B">
        <w:rPr>
          <w:sz w:val="24"/>
          <w:szCs w:val="24"/>
        </w:rPr>
        <w:t>R</w:t>
      </w:r>
      <w:r w:rsidR="003C5103">
        <w:rPr>
          <w:sz w:val="24"/>
          <w:szCs w:val="24"/>
        </w:rPr>
        <w:t>ozpočet</w:t>
      </w:r>
      <w:r w:rsidR="003E6F4B">
        <w:rPr>
          <w:sz w:val="24"/>
          <w:szCs w:val="24"/>
        </w:rPr>
        <w:t xml:space="preserve"> na rok 2020</w:t>
      </w:r>
      <w:r w:rsidR="003C5103">
        <w:rPr>
          <w:sz w:val="24"/>
          <w:szCs w:val="24"/>
        </w:rPr>
        <w:t xml:space="preserve"> byl</w:t>
      </w:r>
      <w:r w:rsidR="003E6F4B">
        <w:rPr>
          <w:sz w:val="24"/>
          <w:szCs w:val="24"/>
        </w:rPr>
        <w:t xml:space="preserve"> však</w:t>
      </w:r>
      <w:r w:rsidR="003C5103">
        <w:rPr>
          <w:sz w:val="24"/>
          <w:szCs w:val="24"/>
        </w:rPr>
        <w:t xml:space="preserve"> postaven na nižší úrovni z důvodu uzavření </w:t>
      </w:r>
      <w:r w:rsidR="003E6F4B">
        <w:rPr>
          <w:sz w:val="24"/>
          <w:szCs w:val="24"/>
        </w:rPr>
        <w:t xml:space="preserve">jednoho </w:t>
      </w:r>
      <w:r w:rsidR="003C5103">
        <w:rPr>
          <w:sz w:val="24"/>
          <w:szCs w:val="24"/>
        </w:rPr>
        <w:t>výstavní</w:t>
      </w:r>
      <w:r w:rsidR="003E6F4B">
        <w:rPr>
          <w:sz w:val="24"/>
          <w:szCs w:val="24"/>
        </w:rPr>
        <w:t>ho</w:t>
      </w:r>
      <w:r w:rsidR="003C5103">
        <w:rPr>
          <w:sz w:val="24"/>
          <w:szCs w:val="24"/>
        </w:rPr>
        <w:t xml:space="preserve"> </w:t>
      </w:r>
      <w:r w:rsidR="003E6F4B">
        <w:rPr>
          <w:sz w:val="24"/>
          <w:szCs w:val="24"/>
        </w:rPr>
        <w:t>objektu</w:t>
      </w:r>
      <w:r w:rsidR="003C5103">
        <w:rPr>
          <w:sz w:val="24"/>
          <w:szCs w:val="24"/>
        </w:rPr>
        <w:t xml:space="preserve"> Uměleckoprůmyslového muzea</w:t>
      </w:r>
      <w:r w:rsidR="003E6F4B">
        <w:rPr>
          <w:sz w:val="24"/>
          <w:szCs w:val="24"/>
        </w:rPr>
        <w:t xml:space="preserve"> v Brně</w:t>
      </w:r>
      <w:r w:rsidR="003C5103">
        <w:rPr>
          <w:sz w:val="24"/>
          <w:szCs w:val="24"/>
        </w:rPr>
        <w:t xml:space="preserve"> </w:t>
      </w:r>
      <w:r w:rsidR="00B541FB">
        <w:rPr>
          <w:sz w:val="24"/>
          <w:szCs w:val="24"/>
        </w:rPr>
        <w:t>vlivem</w:t>
      </w:r>
      <w:r w:rsidR="003C5103">
        <w:rPr>
          <w:sz w:val="24"/>
          <w:szCs w:val="24"/>
        </w:rPr>
        <w:t xml:space="preserve"> </w:t>
      </w:r>
      <w:r w:rsidR="003E6F4B">
        <w:rPr>
          <w:sz w:val="24"/>
          <w:szCs w:val="24"/>
        </w:rPr>
        <w:t xml:space="preserve">jeho rekonstrukce a revitalizace. </w:t>
      </w:r>
      <w:r w:rsidR="003C5103">
        <w:rPr>
          <w:sz w:val="24"/>
          <w:szCs w:val="24"/>
        </w:rPr>
        <w:t xml:space="preserve"> Pokud bychom chtěli srovnat dosažené vlastní výnosy s průměrem předcházejících let</w:t>
      </w:r>
      <w:r w:rsidR="003E6F4B">
        <w:rPr>
          <w:sz w:val="24"/>
          <w:szCs w:val="24"/>
        </w:rPr>
        <w:t>,</w:t>
      </w:r>
      <w:r w:rsidR="003C5103">
        <w:rPr>
          <w:sz w:val="24"/>
          <w:szCs w:val="24"/>
        </w:rPr>
        <w:t xml:space="preserve"> </w:t>
      </w:r>
      <w:r w:rsidR="003C5103" w:rsidRPr="003E6F4B">
        <w:rPr>
          <w:sz w:val="24"/>
          <w:szCs w:val="24"/>
        </w:rPr>
        <w:t>pak by pokles byl více jak 60%ní.</w:t>
      </w:r>
    </w:p>
    <w:p w:rsidR="003E6F4B" w:rsidRDefault="003E6F4B" w:rsidP="003E6F4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měsíci červenci vypra</w:t>
      </w:r>
      <w:r w:rsidR="002C5674">
        <w:rPr>
          <w:sz w:val="24"/>
          <w:szCs w:val="24"/>
        </w:rPr>
        <w:t>covala galerie žádost o navýšen</w:t>
      </w:r>
      <w:r>
        <w:rPr>
          <w:sz w:val="24"/>
          <w:szCs w:val="24"/>
        </w:rPr>
        <w:t xml:space="preserve">í příspěvku na provoz jako kompenzaci výpadu výnosů za rok 2020. Odhad tohoto propadu byl </w:t>
      </w:r>
      <w:r w:rsidR="002C5674">
        <w:rPr>
          <w:sz w:val="24"/>
          <w:szCs w:val="24"/>
        </w:rPr>
        <w:t xml:space="preserve">vyčíslen </w:t>
      </w:r>
      <w:proofErr w:type="gramStart"/>
      <w:r w:rsidR="002C5674"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3E6F4B" w:rsidRDefault="003E6F4B" w:rsidP="003E6F4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4,15 mil. Kč s tím, že</w:t>
      </w:r>
      <w:r w:rsidR="002C5674">
        <w:rPr>
          <w:sz w:val="24"/>
          <w:szCs w:val="24"/>
        </w:rPr>
        <w:t xml:space="preserve"> galerie je schopna část výpadku výnosů pokrýt snížením nákladů ve výši 5 % věcných nákladů, což představovalo částku 2,3 mil. Kč. Následně zřizovatel navýšil galerii příspěvek na provoz ve výši 1 434 845 Kč. Již v průběhu krizového </w:t>
      </w:r>
      <w:r w:rsidR="002C5674">
        <w:rPr>
          <w:sz w:val="24"/>
          <w:szCs w:val="24"/>
        </w:rPr>
        <w:lastRenderedPageBreak/>
        <w:t xml:space="preserve">období galerie přistoupila ke snížení rozpočtů na všech úsecích své činnosti, což se projevilo na celkovém snížení nákladů proti schválenému rozpočtu </w:t>
      </w:r>
      <w:r w:rsidR="001918ED">
        <w:rPr>
          <w:sz w:val="24"/>
          <w:szCs w:val="24"/>
        </w:rPr>
        <w:t>za rok 2020 o 9 800 tis. Kč. Z důvodu značné úspory nákladů nebylo nutné v tak velkém rozsahu zapojit do hospodaření prostředky fondu reprodukce majetku jako dopl</w:t>
      </w:r>
      <w:r w:rsidR="00B541FB">
        <w:rPr>
          <w:sz w:val="24"/>
          <w:szCs w:val="24"/>
        </w:rPr>
        <w:t xml:space="preserve">ňkového zdroje financování a galerie počítá s tím, že tyto prostředky budou použity v roce 2021 na dofinancování </w:t>
      </w:r>
      <w:proofErr w:type="gramStart"/>
      <w:r w:rsidR="00B541FB">
        <w:rPr>
          <w:sz w:val="24"/>
          <w:szCs w:val="24"/>
        </w:rPr>
        <w:t>části  zvýšených</w:t>
      </w:r>
      <w:proofErr w:type="gramEnd"/>
      <w:r w:rsidR="00B541FB">
        <w:rPr>
          <w:sz w:val="24"/>
          <w:szCs w:val="24"/>
        </w:rPr>
        <w:t xml:space="preserve"> nákladů na rekonstrukci Uměleckoprůmyslového muzea.</w:t>
      </w:r>
    </w:p>
    <w:p w:rsidR="00B541FB" w:rsidRDefault="00B541FB" w:rsidP="003E6F4B">
      <w:pPr>
        <w:pStyle w:val="Odstavecseseznamem"/>
        <w:spacing w:after="0"/>
        <w:rPr>
          <w:sz w:val="24"/>
          <w:szCs w:val="24"/>
        </w:rPr>
      </w:pPr>
    </w:p>
    <w:p w:rsidR="00B541FB" w:rsidRDefault="00B541FB" w:rsidP="003E6F4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přes </w:t>
      </w:r>
      <w:r w:rsidR="00CC76D6">
        <w:rPr>
          <w:sz w:val="24"/>
          <w:szCs w:val="24"/>
        </w:rPr>
        <w:t>velmi složité pandemické podmínky musel pokračovat projekt IROP- Revitalizace UMPRUM-</w:t>
      </w:r>
      <w:proofErr w:type="spellStart"/>
      <w:r w:rsidR="00CC76D6">
        <w:rPr>
          <w:sz w:val="24"/>
          <w:szCs w:val="24"/>
        </w:rPr>
        <w:t>Dovybudování</w:t>
      </w:r>
      <w:proofErr w:type="spellEnd"/>
      <w:r w:rsidR="00CC76D6">
        <w:rPr>
          <w:sz w:val="24"/>
          <w:szCs w:val="24"/>
        </w:rPr>
        <w:t xml:space="preserve"> návštěvnického zázemí a vytvoření nové stálé expozice designu, který již druhým rokem ovlivňuje chod celé galerie. Je to velmi rozsáhlý a organizačně náročný projekt, jehož výsledkem by měla být nejen obnova a modernizace objektu a expozic, ale především výzva ke zvýšení návštěvnického zájmu o muzejní prezentace a trávení volného času v kulturním prostředí. </w:t>
      </w:r>
    </w:p>
    <w:p w:rsidR="00B92A5F" w:rsidRDefault="00B92A5F" w:rsidP="003E6F4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Na základě žádosti o platbu byly v roce 2020 galerii uvolněny finanční prostředky ve výši 109 438 894,59 Kč a spolu s nedočerpanými prostředky z minulého roku tvořily zdroje pro rok 2020 ve výši celkem 114 195 118,41 Kč. V roce 2020 bylo na projekt vyčerpáno 63 047 107.06 Kč a zůstatek prostředků v objemu 51 148 011,35 Kč byl převeden do rezervního fond</w:t>
      </w:r>
      <w:r w:rsidR="006A6A76">
        <w:rPr>
          <w:sz w:val="24"/>
          <w:szCs w:val="24"/>
        </w:rPr>
        <w:t>u k čerpání v následujícím roce (příloha č. 15).</w:t>
      </w:r>
    </w:p>
    <w:p w:rsidR="00B92A5F" w:rsidRDefault="00B92A5F" w:rsidP="003E6F4B">
      <w:pPr>
        <w:pStyle w:val="Odstavecseseznamem"/>
        <w:spacing w:after="0"/>
        <w:rPr>
          <w:sz w:val="24"/>
          <w:szCs w:val="24"/>
        </w:rPr>
      </w:pPr>
    </w:p>
    <w:p w:rsidR="00B92A5F" w:rsidRDefault="00B92A5F" w:rsidP="003E6F4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roce 2020 byly schváleny další dva velké investiční projekty z programu IROR a to </w:t>
      </w:r>
    </w:p>
    <w:p w:rsidR="0042116E" w:rsidRDefault="000D6B9D" w:rsidP="000D6B9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projekt Stavba nové depozitární budovy v Brně Řečkovicích a projekt Revitalizace Místodržitelského paláce-vybudování návštěvnického zázemí a vytvoření nové stálé expozice starého a užitého umění.</w:t>
      </w:r>
    </w:p>
    <w:p w:rsidR="003F4D95" w:rsidRDefault="003F4D95" w:rsidP="000D6B9D">
      <w:pPr>
        <w:pStyle w:val="Odstavecseseznamem"/>
        <w:spacing w:after="0"/>
        <w:rPr>
          <w:sz w:val="24"/>
          <w:szCs w:val="24"/>
        </w:rPr>
      </w:pPr>
    </w:p>
    <w:p w:rsidR="003F4D95" w:rsidRDefault="003F4D95" w:rsidP="000D6B9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Významným zdrojem pro možnost financování některých výstavních projektů, doprovodných a edukačních programů jsou prostředky získané z rozpočtů územně samosprávných celků. V roce 2020 se tak podařilo získat z rozpočtu Magistrátu města Brna formou dotací celkem 425 000 Kč a to na celkem 5 projektů. Z rozpočtu Jihomoravského kraje se bohužel nepodařilo v roce 2020 získat žádnou dotaci a také výhled na další období není příliš příznivý, neboť galerie obdržela z Města Brna oficiální informaci o tom, že jako státní příspěvková organizace nebudeme dále zařazeni do dotačních programů.</w:t>
      </w:r>
    </w:p>
    <w:p w:rsidR="003F4D95" w:rsidRDefault="003F4D95" w:rsidP="000D6B9D">
      <w:pPr>
        <w:pStyle w:val="Odstavecseseznamem"/>
        <w:spacing w:after="0"/>
        <w:rPr>
          <w:sz w:val="24"/>
          <w:szCs w:val="24"/>
        </w:rPr>
      </w:pPr>
    </w:p>
    <w:p w:rsidR="003F4D95" w:rsidRDefault="003F4D95" w:rsidP="000D6B9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Galerie se však snaží získávat prostředky i z jiných zdrojů. V roce 2020</w:t>
      </w:r>
      <w:r w:rsidR="0062617A">
        <w:rPr>
          <w:sz w:val="24"/>
          <w:szCs w:val="24"/>
        </w:rPr>
        <w:t xml:space="preserve"> bylo schváleno poskytnutí finanční podpory Technologickou agenturou ČR na projekt s názvem</w:t>
      </w:r>
    </w:p>
    <w:p w:rsidR="0062617A" w:rsidRDefault="0062617A" w:rsidP="000D6B9D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Demokratická revoluce objektivem Dagmar Hochové: Zpřístupnění fotodokumentace z let 1989-1992. Realizace projektu je stanovena na období let 2020-2023 v celkovém </w:t>
      </w:r>
      <w:proofErr w:type="gramStart"/>
      <w:r>
        <w:rPr>
          <w:sz w:val="24"/>
          <w:szCs w:val="24"/>
        </w:rPr>
        <w:t>rozpočtové</w:t>
      </w:r>
      <w:proofErr w:type="gramEnd"/>
      <w:r>
        <w:rPr>
          <w:sz w:val="24"/>
          <w:szCs w:val="24"/>
        </w:rPr>
        <w:t xml:space="preserve"> objemu nákladů Moravské galerie ve výši 2 585 200 Kč, z toho 80 % je financováno z prostředků poskytovatele dotace. V roce 2020 tak získala galerie částku 342 291 Kč.</w:t>
      </w:r>
    </w:p>
    <w:p w:rsidR="006A6A76" w:rsidRDefault="0062617A" w:rsidP="002D0CCF">
      <w:pPr>
        <w:pStyle w:val="Odstavecseseznamem"/>
        <w:spacing w:after="0"/>
        <w:rPr>
          <w:b/>
          <w:sz w:val="36"/>
          <w:szCs w:val="36"/>
        </w:rPr>
      </w:pPr>
      <w:r>
        <w:rPr>
          <w:sz w:val="24"/>
          <w:szCs w:val="24"/>
        </w:rPr>
        <w:lastRenderedPageBreak/>
        <w:t xml:space="preserve">V roce 2020 byly dále podány žádosti o financování projektů </w:t>
      </w:r>
      <w:r w:rsidR="006A6A76">
        <w:rPr>
          <w:sz w:val="24"/>
          <w:szCs w:val="24"/>
        </w:rPr>
        <w:t xml:space="preserve">z Českoněmeckého fondu budoucnosti a programu </w:t>
      </w:r>
      <w:proofErr w:type="spellStart"/>
      <w:r w:rsidR="006A6A76">
        <w:rPr>
          <w:sz w:val="24"/>
          <w:szCs w:val="24"/>
        </w:rPr>
        <w:t>Interreg</w:t>
      </w:r>
      <w:proofErr w:type="spellEnd"/>
      <w:r w:rsidR="006A6A76">
        <w:rPr>
          <w:sz w:val="24"/>
          <w:szCs w:val="24"/>
        </w:rPr>
        <w:t xml:space="preserve"> mezinárodní spolupráce Rakouska a České republiky. Oba tyto projekty budou znamenat značný přínos k financování akcí, na které nemá galerie dostatek vlastních zdrojů.</w:t>
      </w:r>
      <w:r w:rsidR="00882DCC" w:rsidRPr="00882DCC">
        <w:rPr>
          <w:b/>
          <w:sz w:val="36"/>
          <w:szCs w:val="36"/>
        </w:rPr>
        <w:t xml:space="preserve">  </w:t>
      </w:r>
    </w:p>
    <w:p w:rsidR="006A6A76" w:rsidRDefault="006A6A76" w:rsidP="002D0CCF">
      <w:pPr>
        <w:pStyle w:val="Odstavecseseznamem"/>
        <w:spacing w:after="0"/>
        <w:rPr>
          <w:sz w:val="24"/>
          <w:szCs w:val="24"/>
        </w:rPr>
      </w:pPr>
    </w:p>
    <w:p w:rsidR="00205709" w:rsidRDefault="006A6A76" w:rsidP="002D0CC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Volné finanční zdroje umožnily galerii zvýšit výdaje na posílení akviziční činnosti. V roce 2020 tak byly z prostředků galerie zakoupeny sbírkové předměty</w:t>
      </w:r>
      <w:r w:rsidR="00205709">
        <w:rPr>
          <w:sz w:val="24"/>
          <w:szCs w:val="24"/>
        </w:rPr>
        <w:t xml:space="preserve"> v celkové hodnotě 5 524 380 Kč. Jedná</w:t>
      </w:r>
      <w:r w:rsidR="00BD4D14">
        <w:rPr>
          <w:sz w:val="24"/>
          <w:szCs w:val="24"/>
        </w:rPr>
        <w:t xml:space="preserve"> </w:t>
      </w:r>
      <w:r w:rsidR="00205709">
        <w:rPr>
          <w:sz w:val="24"/>
          <w:szCs w:val="24"/>
        </w:rPr>
        <w:t xml:space="preserve">se </w:t>
      </w:r>
      <w:r w:rsidR="00BD4D14">
        <w:rPr>
          <w:sz w:val="24"/>
          <w:szCs w:val="24"/>
        </w:rPr>
        <w:t xml:space="preserve">o </w:t>
      </w:r>
      <w:r w:rsidR="00205709">
        <w:rPr>
          <w:sz w:val="24"/>
          <w:szCs w:val="24"/>
        </w:rPr>
        <w:t>sbírkové předměty designového charakteru, které budou součástí nové stálé expozice v Uměleckoprůmyslovém muzeu.</w:t>
      </w:r>
      <w:r w:rsidR="00205709">
        <w:rPr>
          <w:b/>
          <w:sz w:val="36"/>
          <w:szCs w:val="36"/>
        </w:rPr>
        <w:t xml:space="preserve"> </w:t>
      </w:r>
      <w:r w:rsidR="00205709">
        <w:rPr>
          <w:sz w:val="24"/>
          <w:szCs w:val="24"/>
        </w:rPr>
        <w:t>Přehled akviziční č</w:t>
      </w:r>
      <w:r w:rsidR="00BD4D14">
        <w:rPr>
          <w:sz w:val="24"/>
          <w:szCs w:val="24"/>
        </w:rPr>
        <w:t>innosti od roku 2008 (příloha č. 11</w:t>
      </w:r>
      <w:r w:rsidR="00205709">
        <w:rPr>
          <w:sz w:val="24"/>
          <w:szCs w:val="24"/>
        </w:rPr>
        <w:t>)</w:t>
      </w:r>
    </w:p>
    <w:p w:rsidR="00165573" w:rsidRDefault="00205709" w:rsidP="002D0CC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 důvodu nouzových opatření nemohl být využit</w:t>
      </w:r>
      <w:r w:rsidR="00165573">
        <w:rPr>
          <w:sz w:val="24"/>
          <w:szCs w:val="24"/>
        </w:rPr>
        <w:t xml:space="preserve"> zůstatek</w:t>
      </w:r>
      <w:r>
        <w:rPr>
          <w:sz w:val="24"/>
          <w:szCs w:val="24"/>
        </w:rPr>
        <w:t xml:space="preserve"> účelov</w:t>
      </w:r>
      <w:r w:rsidR="00165573">
        <w:rPr>
          <w:sz w:val="24"/>
          <w:szCs w:val="24"/>
        </w:rPr>
        <w:t>ých</w:t>
      </w:r>
      <w:r>
        <w:rPr>
          <w:sz w:val="24"/>
          <w:szCs w:val="24"/>
        </w:rPr>
        <w:t xml:space="preserve"> prostředk</w:t>
      </w:r>
      <w:r w:rsidR="00165573">
        <w:rPr>
          <w:sz w:val="24"/>
          <w:szCs w:val="24"/>
        </w:rPr>
        <w:t>ů</w:t>
      </w:r>
      <w:r>
        <w:rPr>
          <w:sz w:val="24"/>
          <w:szCs w:val="24"/>
        </w:rPr>
        <w:t xml:space="preserve"> darů</w:t>
      </w:r>
    </w:p>
    <w:p w:rsidR="001A7E3B" w:rsidRDefault="00165573" w:rsidP="002D0CCF">
      <w:pPr>
        <w:pStyle w:val="Odstavecseseznamem"/>
        <w:spacing w:after="0"/>
        <w:rPr>
          <w:b/>
          <w:sz w:val="36"/>
          <w:szCs w:val="36"/>
        </w:rPr>
      </w:pPr>
      <w:r>
        <w:rPr>
          <w:sz w:val="24"/>
          <w:szCs w:val="24"/>
        </w:rPr>
        <w:t xml:space="preserve">ve výši 850 000 Kč, </w:t>
      </w:r>
      <w:proofErr w:type="gramStart"/>
      <w:r>
        <w:rPr>
          <w:sz w:val="24"/>
          <w:szCs w:val="24"/>
        </w:rPr>
        <w:t>který</w:t>
      </w:r>
      <w:proofErr w:type="gramEnd"/>
      <w:r>
        <w:rPr>
          <w:sz w:val="24"/>
          <w:szCs w:val="24"/>
        </w:rPr>
        <w:t xml:space="preserve"> je určen na propagaci, doprovodné a edukační programy. Tyto prostředky budou využity v následujícím roce.</w:t>
      </w:r>
      <w:r w:rsidR="00882DCC" w:rsidRPr="00882DCC">
        <w:rPr>
          <w:b/>
          <w:sz w:val="36"/>
          <w:szCs w:val="36"/>
        </w:rPr>
        <w:t xml:space="preserve">  </w:t>
      </w:r>
    </w:p>
    <w:p w:rsidR="001A7E3B" w:rsidRDefault="001A7E3B" w:rsidP="001A7E3B">
      <w:pPr>
        <w:spacing w:after="0"/>
        <w:rPr>
          <w:sz w:val="24"/>
          <w:szCs w:val="24"/>
        </w:rPr>
      </w:pPr>
    </w:p>
    <w:p w:rsidR="001A7E3B" w:rsidRPr="001A7E3B" w:rsidRDefault="001A7E3B" w:rsidP="001A7E3B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Výsledek hospodaření z jiné (hospodářské) činnosti</w:t>
      </w:r>
    </w:p>
    <w:p w:rsidR="001A7E3B" w:rsidRDefault="001A7E3B" w:rsidP="001A7E3B">
      <w:pPr>
        <w:pStyle w:val="Odstavecseseznamem"/>
        <w:spacing w:after="0"/>
        <w:rPr>
          <w:sz w:val="24"/>
          <w:szCs w:val="24"/>
        </w:rPr>
      </w:pPr>
    </w:p>
    <w:p w:rsidR="001A7E3B" w:rsidRPr="001A7E3B" w:rsidRDefault="001A7E3B" w:rsidP="001A7E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Moravská galerie v Brně je státní příspěvkovou organizací, jejímž zřizovatelem je Ministerstvo kultury ČR. Galerie plní svou úlohu muzejní instituce v souladu se zřizovací listinou, ve které jsou všechny její činnosti vymezeny jako hlavní činnost a ve smyslu ustanovení § 63 zákona o rozpočtových pravidlech tudíž nevykonává jinou (hospodářskou) činnost.</w:t>
      </w:r>
    </w:p>
    <w:p w:rsidR="001A7E3B" w:rsidRDefault="001A7E3B" w:rsidP="001A7E3B">
      <w:pPr>
        <w:spacing w:after="0"/>
        <w:rPr>
          <w:sz w:val="24"/>
          <w:szCs w:val="24"/>
        </w:rPr>
      </w:pPr>
    </w:p>
    <w:p w:rsidR="001A7E3B" w:rsidRPr="0014779F" w:rsidRDefault="001A7E3B" w:rsidP="001A7E3B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Porovnání plánovaného rozpočtu a dosažené skutečnosti</w:t>
      </w:r>
    </w:p>
    <w:p w:rsidR="0014779F" w:rsidRDefault="0014779F" w:rsidP="0014779F">
      <w:pPr>
        <w:pStyle w:val="Odstavecseseznamem"/>
        <w:spacing w:after="0"/>
        <w:rPr>
          <w:sz w:val="24"/>
          <w:szCs w:val="24"/>
        </w:rPr>
      </w:pPr>
    </w:p>
    <w:p w:rsidR="0014779F" w:rsidRDefault="00BC6416" w:rsidP="0014779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Vykázané</w:t>
      </w:r>
      <w:r w:rsidR="0014779F">
        <w:rPr>
          <w:sz w:val="24"/>
          <w:szCs w:val="24"/>
        </w:rPr>
        <w:t xml:space="preserve"> výnosy a náklady proti upravenému rozpočtu včetně mimorozpočtových zdrojů byly splněny na 91,67 %. Celkové náklady a výnosy ve výši 114 526 900,04 Kč odpovídají skutečnosti dosažené v roce 2019, avšak v jiné nákladové struktuře. Zatím</w:t>
      </w:r>
      <w:r w:rsidR="000140C7">
        <w:rPr>
          <w:sz w:val="24"/>
          <w:szCs w:val="24"/>
        </w:rPr>
        <w:t>co</w:t>
      </w:r>
      <w:r w:rsidR="0014779F">
        <w:rPr>
          <w:sz w:val="24"/>
          <w:szCs w:val="24"/>
        </w:rPr>
        <w:t xml:space="preserve"> v roce 2019 </w:t>
      </w:r>
      <w:r>
        <w:rPr>
          <w:sz w:val="24"/>
          <w:szCs w:val="24"/>
        </w:rPr>
        <w:t xml:space="preserve">byly </w:t>
      </w:r>
      <w:r w:rsidR="0014779F">
        <w:rPr>
          <w:sz w:val="24"/>
          <w:szCs w:val="24"/>
        </w:rPr>
        <w:t>mzdové náklady</w:t>
      </w:r>
      <w:r>
        <w:rPr>
          <w:sz w:val="24"/>
          <w:szCs w:val="24"/>
        </w:rPr>
        <w:t xml:space="preserve"> ve výši 48 905 271 Kč, tak v roce 2020 dosáhly výše 54 887 567 Kč a ve stejném procentu se zvýšily i odvody sociálního a zdravotního pojištění a tvorby FKSP. U všech ostatních věcných nákladů</w:t>
      </w:r>
      <w:r w:rsidR="000140C7">
        <w:rPr>
          <w:sz w:val="24"/>
          <w:szCs w:val="24"/>
        </w:rPr>
        <w:t xml:space="preserve"> došlo k úsporám jak vůči schválenému rozpočtu, tak i upravenému rozpočtu. K mírnému překročení došlo u </w:t>
      </w:r>
      <w:r w:rsidR="00A95EC5">
        <w:rPr>
          <w:sz w:val="24"/>
          <w:szCs w:val="24"/>
        </w:rPr>
        <w:t>osobních</w:t>
      </w:r>
      <w:r w:rsidR="000140C7">
        <w:rPr>
          <w:sz w:val="24"/>
          <w:szCs w:val="24"/>
        </w:rPr>
        <w:t xml:space="preserve"> nákladů a to z důvodu vysokého čerpání dávek nemocenského pojištění, kdy na původní rozpočet ve výši 180 000 Kč </w:t>
      </w:r>
      <w:r w:rsidR="0058251F">
        <w:rPr>
          <w:sz w:val="24"/>
          <w:szCs w:val="24"/>
        </w:rPr>
        <w:t>byla skutečnost 473 630 Kč. Důvodem je</w:t>
      </w:r>
      <w:r w:rsidR="00A95EC5">
        <w:rPr>
          <w:sz w:val="24"/>
          <w:szCs w:val="24"/>
        </w:rPr>
        <w:t>,</w:t>
      </w:r>
      <w:r w:rsidR="0058251F">
        <w:rPr>
          <w:sz w:val="24"/>
          <w:szCs w:val="24"/>
        </w:rPr>
        <w:t xml:space="preserve"> jako i v jiných případech</w:t>
      </w:r>
      <w:r w:rsidR="00A95EC5">
        <w:rPr>
          <w:sz w:val="24"/>
          <w:szCs w:val="24"/>
        </w:rPr>
        <w:t>,</w:t>
      </w:r>
      <w:r w:rsidR="0058251F">
        <w:rPr>
          <w:sz w:val="24"/>
          <w:szCs w:val="24"/>
        </w:rPr>
        <w:t xml:space="preserve"> onemocnění celé řady pracovníků virovou nákazou případně přikázanou karanténou.</w:t>
      </w:r>
    </w:p>
    <w:p w:rsidR="0058251F" w:rsidRDefault="0058251F" w:rsidP="0014779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K překročení upraveného rozpočtu došlo i u výdajů na nákup drobného hmotného a nehmotného majetku.</w:t>
      </w:r>
      <w:r w:rsidR="00A95EC5">
        <w:rPr>
          <w:sz w:val="24"/>
          <w:szCs w:val="24"/>
        </w:rPr>
        <w:t xml:space="preserve">  V roce 2020 bylo rozhodnuto o zakoupení nového programového vybavení skladové evidence a prodejních pokladen. Mimo SW musely být zakoupeny nové tiskárny a kódové čtečky. Původní rozpočet ve výši 500 tis. Kč mohl být navýšen o prostředky dotačního charakteru</w:t>
      </w:r>
      <w:r w:rsidR="00EB58B3">
        <w:rPr>
          <w:sz w:val="24"/>
          <w:szCs w:val="24"/>
        </w:rPr>
        <w:t xml:space="preserve"> v rámci programů IP DKRVO, NAKI II a kulturních aktivit</w:t>
      </w:r>
      <w:r w:rsidR="00A95EC5">
        <w:rPr>
          <w:sz w:val="24"/>
          <w:szCs w:val="24"/>
        </w:rPr>
        <w:t xml:space="preserve"> v</w:t>
      </w:r>
      <w:r w:rsidR="00EB58B3">
        <w:rPr>
          <w:sz w:val="24"/>
          <w:szCs w:val="24"/>
        </w:rPr>
        <w:t xml:space="preserve"> celkové</w:t>
      </w:r>
      <w:r w:rsidR="00A95EC5">
        <w:rPr>
          <w:sz w:val="24"/>
          <w:szCs w:val="24"/>
        </w:rPr>
        <w:t xml:space="preserve"> výši 871 tis. Kč, takže mohly být zakoupeny nové </w:t>
      </w:r>
      <w:r w:rsidR="00A95EC5">
        <w:rPr>
          <w:sz w:val="24"/>
          <w:szCs w:val="24"/>
        </w:rPr>
        <w:lastRenderedPageBreak/>
        <w:t>notebooky</w:t>
      </w:r>
      <w:r w:rsidR="00EB58B3">
        <w:rPr>
          <w:sz w:val="24"/>
          <w:szCs w:val="24"/>
        </w:rPr>
        <w:t xml:space="preserve"> pro práci některých zaměstnanců z domu, byly zakoupeny policové systémy pro uložení archívních materiálů v archívu Jiřího </w:t>
      </w:r>
      <w:proofErr w:type="spellStart"/>
      <w:r w:rsidR="00EB58B3">
        <w:rPr>
          <w:sz w:val="24"/>
          <w:szCs w:val="24"/>
        </w:rPr>
        <w:t>Valocha</w:t>
      </w:r>
      <w:proofErr w:type="spellEnd"/>
      <w:r w:rsidR="00EB58B3">
        <w:rPr>
          <w:sz w:val="24"/>
          <w:szCs w:val="24"/>
        </w:rPr>
        <w:t>, interaktivní hra pro doprovodné programy a řada dalšího drobného majetku, nezbytného pro provoz galerie.</w:t>
      </w:r>
    </w:p>
    <w:p w:rsidR="00EB58B3" w:rsidRPr="0014779F" w:rsidRDefault="00EB58B3" w:rsidP="0014779F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roce 2020 byla vyřazena z účetní evidence pohledávka ve výši 18 200 Kč. Jednalo se o pohledávku z roku 2015 za pronájem nebytových pr</w:t>
      </w:r>
      <w:r w:rsidR="000D6087">
        <w:rPr>
          <w:sz w:val="24"/>
          <w:szCs w:val="24"/>
        </w:rPr>
        <w:t xml:space="preserve">ostor firmě </w:t>
      </w:r>
      <w:proofErr w:type="spellStart"/>
      <w:r w:rsidR="000D6087">
        <w:rPr>
          <w:sz w:val="24"/>
          <w:szCs w:val="24"/>
        </w:rPr>
        <w:t>Appasionata</w:t>
      </w:r>
      <w:proofErr w:type="spellEnd"/>
      <w:r w:rsidR="000D6087">
        <w:rPr>
          <w:sz w:val="24"/>
          <w:szCs w:val="24"/>
        </w:rPr>
        <w:t xml:space="preserve"> s.r.o. Uhrazení této pohledávky bylo několikrát urgováno včetně písemných upomínek,</w:t>
      </w:r>
    </w:p>
    <w:p w:rsidR="001A7E3B" w:rsidRDefault="000D6087" w:rsidP="001A7E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avšak než došlo k právnímu vymáhání, uvedená společnost zanikla. Vyřazená pohledávka byla zaúčtována na účtu 557</w:t>
      </w:r>
      <w:r w:rsidR="00BD4D1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D4D14">
        <w:rPr>
          <w:sz w:val="24"/>
          <w:szCs w:val="24"/>
        </w:rPr>
        <w:t xml:space="preserve"> </w:t>
      </w:r>
      <w:r>
        <w:rPr>
          <w:sz w:val="24"/>
          <w:szCs w:val="24"/>
        </w:rPr>
        <w:t>náklady z vyřazených pohledávek se souvztažným zápisem na účtu 311</w:t>
      </w:r>
      <w:r w:rsidR="00BD4D1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D4D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oddběratelé</w:t>
      </w:r>
      <w:proofErr w:type="spellEnd"/>
      <w:r>
        <w:rPr>
          <w:sz w:val="24"/>
          <w:szCs w:val="24"/>
        </w:rPr>
        <w:t>.</w:t>
      </w:r>
    </w:p>
    <w:p w:rsidR="000D6087" w:rsidRDefault="000D6087" w:rsidP="001A7E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Poslední nákladovou kategorií, u které došlo k</w:t>
      </w:r>
      <w:r w:rsidR="001979DD">
        <w:rPr>
          <w:sz w:val="24"/>
          <w:szCs w:val="24"/>
        </w:rPr>
        <w:t> </w:t>
      </w:r>
      <w:r>
        <w:rPr>
          <w:sz w:val="24"/>
          <w:szCs w:val="24"/>
        </w:rPr>
        <w:t>překročení</w:t>
      </w:r>
      <w:r w:rsidR="001979DD">
        <w:rPr>
          <w:sz w:val="24"/>
          <w:szCs w:val="24"/>
        </w:rPr>
        <w:t xml:space="preserve"> nákladů</w:t>
      </w:r>
      <w:r>
        <w:rPr>
          <w:sz w:val="24"/>
          <w:szCs w:val="24"/>
        </w:rPr>
        <w:t xml:space="preserve"> schváleného rozpočtu</w:t>
      </w:r>
      <w:r w:rsidR="00BD4D14">
        <w:rPr>
          <w:sz w:val="24"/>
          <w:szCs w:val="24"/>
        </w:rPr>
        <w:t>,</w:t>
      </w:r>
      <w:r w:rsidR="001979DD">
        <w:rPr>
          <w:sz w:val="24"/>
          <w:szCs w:val="24"/>
        </w:rPr>
        <w:t xml:space="preserve"> jež byly zaevidovány na účtu </w:t>
      </w:r>
      <w:proofErr w:type="gramStart"/>
      <w:r w:rsidR="001979DD">
        <w:rPr>
          <w:sz w:val="24"/>
          <w:szCs w:val="24"/>
        </w:rPr>
        <w:t>563-kurzové</w:t>
      </w:r>
      <w:proofErr w:type="gramEnd"/>
      <w:r w:rsidR="001979DD">
        <w:rPr>
          <w:sz w:val="24"/>
          <w:szCs w:val="24"/>
        </w:rPr>
        <w:t xml:space="preserve"> ztráty, vznikly vlivem nerovnoměrného pohybu kurzu koruny k zahraničním měnám. Původní rozpočet ve výši 70 tis. Kč byl čerpán ve výši 184 240,67 Kč.</w:t>
      </w:r>
    </w:p>
    <w:p w:rsidR="001979DD" w:rsidRDefault="001979DD" w:rsidP="001A7E3B">
      <w:pPr>
        <w:pStyle w:val="Odstavecseseznamem"/>
        <w:spacing w:after="0"/>
        <w:rPr>
          <w:sz w:val="24"/>
          <w:szCs w:val="24"/>
        </w:rPr>
      </w:pPr>
    </w:p>
    <w:p w:rsidR="001979DD" w:rsidRDefault="001979DD" w:rsidP="001A7E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Rozpočet výnosů</w:t>
      </w:r>
      <w:r w:rsidR="00BD4D14">
        <w:rPr>
          <w:sz w:val="24"/>
          <w:szCs w:val="24"/>
        </w:rPr>
        <w:t xml:space="preserve"> z vlastní činnosti byl splněn </w:t>
      </w:r>
      <w:r>
        <w:rPr>
          <w:sz w:val="24"/>
          <w:szCs w:val="24"/>
        </w:rPr>
        <w:t xml:space="preserve">na 51,36 % z důvodů uvedených v první části zprávy. Skutečnost odpovídala původním předpokladům, </w:t>
      </w:r>
      <w:r w:rsidR="00BE2643">
        <w:rPr>
          <w:sz w:val="24"/>
          <w:szCs w:val="24"/>
        </w:rPr>
        <w:t>které byly vyčísleny v predikci výsledku hospodaření za rok 2020. Z důvodu vyšších úspor nákladů nemusely být v plné míře čerpány prostředky fondu reprodukce majetku jako doplňkového zdroje financování. Tyto volné zdroje budou použity v roce 2021 na dofinancování některých zvýšených nákladů revitalizace Uměleckoprůmyslového muzea.</w:t>
      </w:r>
    </w:p>
    <w:p w:rsidR="00BE2643" w:rsidRDefault="00BE2643" w:rsidP="001A7E3B">
      <w:pPr>
        <w:pStyle w:val="Odstavecseseznamem"/>
        <w:spacing w:after="0"/>
        <w:rPr>
          <w:sz w:val="24"/>
          <w:szCs w:val="24"/>
        </w:rPr>
      </w:pPr>
    </w:p>
    <w:p w:rsidR="00BE2643" w:rsidRDefault="00BE2643" w:rsidP="001A7E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Moravská galerie v Brně na začátku každého roku sestavuje interní rozpočet na jednotlivá nákladová střediska-oddělení, případně v dalším členění na </w:t>
      </w:r>
      <w:proofErr w:type="gramStart"/>
      <w:r>
        <w:rPr>
          <w:sz w:val="24"/>
          <w:szCs w:val="24"/>
        </w:rPr>
        <w:t>jednotlivé  zakázky</w:t>
      </w:r>
      <w:proofErr w:type="gramEnd"/>
      <w:r>
        <w:rPr>
          <w:sz w:val="24"/>
          <w:szCs w:val="24"/>
        </w:rPr>
        <w:t xml:space="preserve"> podle projektů, výstav, doprovodných akcí apod. Čerpání těchto interních rozpočtů je pravidelně čtvrtletně, v případě potřeby i mimo tyto termíny, sledováno, vyhodnocováno a jsou přijímána opatření</w:t>
      </w:r>
      <w:r w:rsidR="00821F10">
        <w:rPr>
          <w:sz w:val="24"/>
          <w:szCs w:val="24"/>
        </w:rPr>
        <w:t xml:space="preserve"> k jejich dodržování.</w:t>
      </w:r>
    </w:p>
    <w:p w:rsidR="00821F10" w:rsidRDefault="00821F10" w:rsidP="001A7E3B">
      <w:pPr>
        <w:pStyle w:val="Odstavecseseznamem"/>
        <w:spacing w:after="0"/>
        <w:rPr>
          <w:sz w:val="24"/>
          <w:szCs w:val="24"/>
        </w:rPr>
      </w:pPr>
    </w:p>
    <w:p w:rsidR="00821F10" w:rsidRDefault="00821F10" w:rsidP="001A7E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Porovnání plánovaného rozpočtu a dosažené skutečnosti za rok 2020 je uvedeno v příloze č. 12.</w:t>
      </w:r>
    </w:p>
    <w:p w:rsidR="00821F10" w:rsidRDefault="00821F10" w:rsidP="00821F10">
      <w:pPr>
        <w:spacing w:after="0"/>
        <w:rPr>
          <w:sz w:val="24"/>
          <w:szCs w:val="24"/>
        </w:rPr>
      </w:pPr>
    </w:p>
    <w:p w:rsidR="00821F10" w:rsidRPr="00821F10" w:rsidRDefault="00821F10" w:rsidP="00821F10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Výdaje na zahraniční pracovní cesty</w:t>
      </w:r>
    </w:p>
    <w:p w:rsidR="00821F10" w:rsidRDefault="00821F10" w:rsidP="00821F10">
      <w:pPr>
        <w:pStyle w:val="Odstavecseseznamem"/>
        <w:spacing w:after="0"/>
        <w:rPr>
          <w:sz w:val="24"/>
          <w:szCs w:val="24"/>
        </w:rPr>
      </w:pPr>
    </w:p>
    <w:p w:rsidR="00821F10" w:rsidRDefault="00821F10" w:rsidP="00821F1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Celostátní omezení pohybu a setkávání občanů mělo dopad i na uskutečnění zahraničních pracovních cest. V roce 2020 byly realizovány pouze dvě zahraniční pracovní cesty, z toho jedna se týkala cesty do Lipska k dojednání spolupráce v projektu </w:t>
      </w:r>
      <w:r w:rsidR="005A525A">
        <w:rPr>
          <w:sz w:val="24"/>
          <w:szCs w:val="24"/>
        </w:rPr>
        <w:t>Č</w:t>
      </w:r>
      <w:r>
        <w:rPr>
          <w:sz w:val="24"/>
          <w:szCs w:val="24"/>
        </w:rPr>
        <w:t xml:space="preserve">eskoněmeckého fondu budoucnosti a druhou cestu do Londýna absolvoval hlavní kurátor galerie </w:t>
      </w:r>
      <w:r w:rsidR="005A525A">
        <w:rPr>
          <w:sz w:val="24"/>
          <w:szCs w:val="24"/>
        </w:rPr>
        <w:t xml:space="preserve">k účasti na vernisáži výstavy Jan Svoboda. Ve velké většině případů jsou zahraniční pracovní cesty uskutečňovány v rámci řešení vědeckovýzkumných projektů, pro které jsou v těchto projektech vyčleněny </w:t>
      </w:r>
      <w:proofErr w:type="gramStart"/>
      <w:r w:rsidR="005A525A">
        <w:rPr>
          <w:sz w:val="24"/>
          <w:szCs w:val="24"/>
        </w:rPr>
        <w:t xml:space="preserve">finanční </w:t>
      </w:r>
      <w:r w:rsidR="00224136">
        <w:rPr>
          <w:sz w:val="24"/>
          <w:szCs w:val="24"/>
        </w:rPr>
        <w:t xml:space="preserve"> </w:t>
      </w:r>
      <w:r w:rsidR="00224136">
        <w:rPr>
          <w:sz w:val="24"/>
          <w:szCs w:val="24"/>
        </w:rPr>
        <w:lastRenderedPageBreak/>
        <w:t>prostředky</w:t>
      </w:r>
      <w:proofErr w:type="gramEnd"/>
      <w:r w:rsidR="00224136">
        <w:rPr>
          <w:sz w:val="24"/>
          <w:szCs w:val="24"/>
        </w:rPr>
        <w:t xml:space="preserve">. Vzhledem k tomu, že se zahraniční pracovní cesty nemohly uskutečnit, byli </w:t>
      </w:r>
      <w:r w:rsidR="005A525A">
        <w:rPr>
          <w:sz w:val="24"/>
          <w:szCs w:val="24"/>
        </w:rPr>
        <w:t>poskytovatelé dotací požádán</w:t>
      </w:r>
      <w:r w:rsidR="00224136">
        <w:rPr>
          <w:sz w:val="24"/>
          <w:szCs w:val="24"/>
        </w:rPr>
        <w:t>i</w:t>
      </w:r>
      <w:r w:rsidR="005A525A">
        <w:rPr>
          <w:sz w:val="24"/>
          <w:szCs w:val="24"/>
        </w:rPr>
        <w:t xml:space="preserve"> o možnost přesunu těchto prostředků k jiným </w:t>
      </w:r>
      <w:r w:rsidR="001D133B">
        <w:rPr>
          <w:sz w:val="24"/>
          <w:szCs w:val="24"/>
        </w:rPr>
        <w:t xml:space="preserve">potřebným </w:t>
      </w:r>
      <w:r w:rsidR="005A525A">
        <w:rPr>
          <w:sz w:val="24"/>
          <w:szCs w:val="24"/>
        </w:rPr>
        <w:t xml:space="preserve">účelům. Soupis zahraničních pracovních cest je uveden v příloze </w:t>
      </w:r>
      <w:proofErr w:type="gramStart"/>
      <w:r w:rsidR="005A525A">
        <w:rPr>
          <w:sz w:val="24"/>
          <w:szCs w:val="24"/>
        </w:rPr>
        <w:t>č.1.</w:t>
      </w:r>
      <w:proofErr w:type="gramEnd"/>
    </w:p>
    <w:p w:rsidR="005A525A" w:rsidRDefault="005A525A" w:rsidP="005A525A">
      <w:pPr>
        <w:spacing w:after="0"/>
        <w:rPr>
          <w:sz w:val="24"/>
          <w:szCs w:val="24"/>
        </w:rPr>
      </w:pPr>
    </w:p>
    <w:p w:rsidR="005A525A" w:rsidRPr="005A525A" w:rsidRDefault="005A525A" w:rsidP="005A525A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Mimorozpočtové zdroje financování</w:t>
      </w:r>
    </w:p>
    <w:p w:rsidR="005A525A" w:rsidRDefault="005A525A" w:rsidP="005A525A">
      <w:pPr>
        <w:pStyle w:val="Odstavecseseznamem"/>
        <w:spacing w:after="0"/>
        <w:rPr>
          <w:sz w:val="24"/>
          <w:szCs w:val="24"/>
        </w:rPr>
      </w:pPr>
    </w:p>
    <w:p w:rsidR="005A525A" w:rsidRPr="00BD4D14" w:rsidRDefault="005A525A" w:rsidP="00BD4D1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roce 2020 získala galerie v rámci mimorozpočtových zdrojů </w:t>
      </w:r>
      <w:r w:rsidR="00BD4D14">
        <w:rPr>
          <w:sz w:val="24"/>
          <w:szCs w:val="24"/>
        </w:rPr>
        <w:t xml:space="preserve">finanční </w:t>
      </w:r>
      <w:r>
        <w:rPr>
          <w:sz w:val="24"/>
          <w:szCs w:val="24"/>
        </w:rPr>
        <w:t xml:space="preserve">prostředky </w:t>
      </w:r>
      <w:r w:rsidR="00BD4D14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="00BD4D14">
        <w:rPr>
          <w:sz w:val="24"/>
          <w:szCs w:val="24"/>
        </w:rPr>
        <w:t xml:space="preserve"> výši </w:t>
      </w:r>
      <w:r w:rsidRPr="00BD4D14">
        <w:rPr>
          <w:sz w:val="24"/>
          <w:szCs w:val="24"/>
        </w:rPr>
        <w:t>797 291 Kč.</w:t>
      </w:r>
    </w:p>
    <w:p w:rsidR="00224136" w:rsidRDefault="00224136" w:rsidP="005A525A">
      <w:pPr>
        <w:pStyle w:val="Odstavecseseznamem"/>
        <w:spacing w:after="0"/>
        <w:rPr>
          <w:sz w:val="24"/>
          <w:szCs w:val="24"/>
        </w:rPr>
      </w:pPr>
    </w:p>
    <w:p w:rsidR="005A525A" w:rsidRDefault="005A525A" w:rsidP="005A525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Největší podíl mimorozpočtových zdrojů tvořily dotace z Magistrátu města Brna v celkové výši 425 000 Kč</w:t>
      </w:r>
      <w:r w:rsidR="00224136">
        <w:rPr>
          <w:sz w:val="24"/>
          <w:szCs w:val="24"/>
        </w:rPr>
        <w:t>. Dva projekty v celkové výši 360 000 Kč se týkaly výstavních projektů a další tři dotace byly určeny na realizaci doprovodných a edukačních programů, především akcí pro děti a to v celkové výši 65 000 Kč. Prostředky těchto dotací byly do konce roku 2020 v plném rozsahu vyčerpány a ve stanovených termínech bylo poskytovateli předloženo jejich vyúčtování.</w:t>
      </w:r>
    </w:p>
    <w:p w:rsidR="00224136" w:rsidRDefault="00224136" w:rsidP="005A525A">
      <w:pPr>
        <w:pStyle w:val="Odstavecseseznamem"/>
        <w:spacing w:after="0"/>
        <w:rPr>
          <w:sz w:val="24"/>
          <w:szCs w:val="24"/>
        </w:rPr>
      </w:pPr>
    </w:p>
    <w:p w:rsidR="00DE3C88" w:rsidRDefault="00224136" w:rsidP="005A525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roc</w:t>
      </w:r>
      <w:r w:rsidR="00375E3E">
        <w:rPr>
          <w:sz w:val="24"/>
          <w:szCs w:val="24"/>
        </w:rPr>
        <w:t>e</w:t>
      </w:r>
      <w:r w:rsidR="00DE3C88">
        <w:rPr>
          <w:sz w:val="24"/>
          <w:szCs w:val="24"/>
        </w:rPr>
        <w:t xml:space="preserve"> 2020 byl schválen projekt Technologické agentury ČR s názvem Demokratická revoluce objektivem Dagmar Hochové: Zpřístupnění unikátní fotodokumentace z let 1989-1992. Realizace projektu je koncipována na období 2020-2023 a celkové náklady projektu jsou 2 585 200 Kč s tím, že finanční podpora činí 80 % nákladů.</w:t>
      </w:r>
    </w:p>
    <w:p w:rsidR="00224136" w:rsidRDefault="00DE3C88" w:rsidP="005A525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Rozpočtované náklady roku 2020 činily 428 400 Kč, z toho galerie obdržela dotační podíl ve výši 342 291 Kč.</w:t>
      </w:r>
    </w:p>
    <w:p w:rsidR="00DE3C88" w:rsidRDefault="00DE3C88" w:rsidP="005A525A">
      <w:pPr>
        <w:pStyle w:val="Odstavecseseznamem"/>
        <w:spacing w:after="0"/>
        <w:rPr>
          <w:sz w:val="24"/>
          <w:szCs w:val="24"/>
        </w:rPr>
      </w:pPr>
    </w:p>
    <w:p w:rsidR="00DE3C88" w:rsidRDefault="00DE3C88" w:rsidP="005A525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roce 2020 obdržela galerie příspěvek z Českoněmeckého fondu budoucnosti ve výši 30 000 Kč na projekt, který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zařazen do programu </w:t>
      </w:r>
      <w:proofErr w:type="gramStart"/>
      <w:r>
        <w:rPr>
          <w:sz w:val="24"/>
          <w:szCs w:val="24"/>
        </w:rPr>
        <w:t>Začínáme</w:t>
      </w:r>
      <w:proofErr w:type="gramEnd"/>
      <w:r>
        <w:rPr>
          <w:sz w:val="24"/>
          <w:szCs w:val="24"/>
        </w:rPr>
        <w:t>!, jehož obsahem bylo setkání partnerů, které má sloužit jako příprava na společný velký projekt, který byl schválen na rok 2021.</w:t>
      </w:r>
    </w:p>
    <w:p w:rsidR="00DE3C88" w:rsidRDefault="00DE3C88" w:rsidP="005A525A">
      <w:pPr>
        <w:pStyle w:val="Odstavecseseznamem"/>
        <w:spacing w:after="0"/>
        <w:rPr>
          <w:sz w:val="24"/>
          <w:szCs w:val="24"/>
        </w:rPr>
      </w:pPr>
    </w:p>
    <w:p w:rsidR="001D133B" w:rsidRDefault="001D133B" w:rsidP="005A525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 vývoje získávání mimorozpočtových zdrojů ve sledovaném roce vyplývá, že obecné očekávání hospodářského útlumu vyvolalo opatrnost u poskytovatelů darů, dotací a dalších příspěvků na kulturní aktivity. Přehled mimorozpočtových zdrojů je uveden v příloze č. 4 a 13.</w:t>
      </w:r>
    </w:p>
    <w:p w:rsidR="001D133B" w:rsidRDefault="001D133B" w:rsidP="001D133B">
      <w:pPr>
        <w:spacing w:after="0"/>
        <w:rPr>
          <w:sz w:val="24"/>
          <w:szCs w:val="24"/>
        </w:rPr>
      </w:pPr>
    </w:p>
    <w:p w:rsidR="001D133B" w:rsidRPr="001D133B" w:rsidRDefault="001D133B" w:rsidP="001D133B">
      <w:pPr>
        <w:pStyle w:val="Odstavecseseznamem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Fondy organizace</w:t>
      </w:r>
    </w:p>
    <w:p w:rsidR="001D133B" w:rsidRDefault="001D133B" w:rsidP="001D133B">
      <w:pPr>
        <w:pStyle w:val="Odstavecseseznamem"/>
        <w:spacing w:after="0"/>
        <w:rPr>
          <w:sz w:val="24"/>
          <w:szCs w:val="24"/>
        </w:rPr>
      </w:pPr>
    </w:p>
    <w:p w:rsidR="001D133B" w:rsidRDefault="001D133B" w:rsidP="001D133B">
      <w:pPr>
        <w:pStyle w:val="Odstavecseseznamem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Rezervní fond</w:t>
      </w:r>
    </w:p>
    <w:p w:rsidR="001D133B" w:rsidRDefault="001D133B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Počáteční zůstatek rezervního fondu ze zlepšeného výsledku hospodaření ve výši 1 571 403,40 Kč nebyl v průběhu roku měněn.</w:t>
      </w:r>
    </w:p>
    <w:p w:rsidR="00DE3C88" w:rsidRDefault="001D133B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Počáteční zůstatek rezervního fondu z ostatních titulů ve výši </w:t>
      </w:r>
      <w:r w:rsidR="00993D25">
        <w:rPr>
          <w:sz w:val="24"/>
          <w:szCs w:val="24"/>
        </w:rPr>
        <w:t xml:space="preserve">5 788 801,82 Kč byl tvořen zůstatkem nepoužitých účelových darů ve výši 850 000 Kč, zůstatkem nespotřebovaných prostředků projektu </w:t>
      </w:r>
      <w:proofErr w:type="spellStart"/>
      <w:r w:rsidR="00993D25">
        <w:rPr>
          <w:sz w:val="24"/>
          <w:szCs w:val="24"/>
        </w:rPr>
        <w:t>Interreg</w:t>
      </w:r>
      <w:proofErr w:type="spellEnd"/>
      <w:r w:rsidR="00993D25">
        <w:rPr>
          <w:sz w:val="24"/>
          <w:szCs w:val="24"/>
        </w:rPr>
        <w:t xml:space="preserve"> ve výši 182 578 Kč a </w:t>
      </w:r>
      <w:r w:rsidR="00734BC7">
        <w:rPr>
          <w:sz w:val="24"/>
          <w:szCs w:val="24"/>
        </w:rPr>
        <w:t xml:space="preserve">převodem </w:t>
      </w:r>
      <w:r w:rsidR="00734BC7">
        <w:rPr>
          <w:sz w:val="24"/>
          <w:szCs w:val="24"/>
        </w:rPr>
        <w:lastRenderedPageBreak/>
        <w:t xml:space="preserve">nevyčerpaných finančních prostředků projektu IROP-Revitalizace UMPRUM ve výši 4 756 223,82 Kč. V průběhu roku byl fond doplněn splátkou grantu </w:t>
      </w:r>
      <w:proofErr w:type="spellStart"/>
      <w:r w:rsidR="00734BC7">
        <w:rPr>
          <w:sz w:val="24"/>
          <w:szCs w:val="24"/>
        </w:rPr>
        <w:t>Interreg</w:t>
      </w:r>
      <w:proofErr w:type="spellEnd"/>
      <w:r w:rsidR="00734BC7">
        <w:rPr>
          <w:sz w:val="24"/>
          <w:szCs w:val="24"/>
        </w:rPr>
        <w:t xml:space="preserve"> ve výši 322 223,08 Kč a převodem nevyčerpaných prostředků projektu IROP ve výši 51 148 011,35 Kč.</w:t>
      </w:r>
    </w:p>
    <w:p w:rsidR="00734BC7" w:rsidRDefault="00734BC7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roce 2020 nebyly prostředky rezervního fondu použity, takže konečný zůstatek činí 52 502 812,43 Kč, z toho 51 148 011,35 Kč prostředky IROP a 1 354 801,08 Kč</w:t>
      </w:r>
      <w:r w:rsidR="007E3D9C">
        <w:rPr>
          <w:sz w:val="24"/>
          <w:szCs w:val="24"/>
        </w:rPr>
        <w:t xml:space="preserve"> účelové dotační prostředky.</w:t>
      </w:r>
    </w:p>
    <w:p w:rsidR="007E3D9C" w:rsidRDefault="007E3D9C" w:rsidP="001D133B">
      <w:pPr>
        <w:pStyle w:val="Odstavecseseznamem"/>
        <w:spacing w:after="0"/>
        <w:rPr>
          <w:sz w:val="24"/>
          <w:szCs w:val="24"/>
        </w:rPr>
      </w:pPr>
    </w:p>
    <w:p w:rsidR="007E3D9C" w:rsidRDefault="007E3D9C" w:rsidP="001D133B">
      <w:pPr>
        <w:pStyle w:val="Odstavecseseznamem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Fond odměn</w:t>
      </w:r>
    </w:p>
    <w:p w:rsidR="007E3D9C" w:rsidRDefault="007E3D9C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Počáteční stav fondu odměn ve výši 5 2772 584,60 Kč byl ke konci roku 2020 čerpán ve výši 88 004 Kč z důvodu překročení limitu ostatních osobních výdajů, ke kterému došlo z důvodu nutnosti zvýšení hodinové sazby odměny z dohod vlivem nárůstu mezd ve veřejné správě. Přitom limit ostatních osobních výdajů zůstává již dlouhá léta neměněn.</w:t>
      </w:r>
    </w:p>
    <w:p w:rsidR="007E3D9C" w:rsidRDefault="007E3D9C" w:rsidP="001D133B">
      <w:pPr>
        <w:pStyle w:val="Odstavecseseznamem"/>
        <w:spacing w:after="0"/>
        <w:rPr>
          <w:sz w:val="24"/>
          <w:szCs w:val="24"/>
        </w:rPr>
      </w:pPr>
    </w:p>
    <w:p w:rsidR="007E3D9C" w:rsidRDefault="007E3D9C" w:rsidP="001D133B">
      <w:pPr>
        <w:pStyle w:val="Odstavecseseznamem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Fond kulturních a sociálních potřeb</w:t>
      </w:r>
    </w:p>
    <w:p w:rsidR="00E14667" w:rsidRDefault="007E3D9C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Počáteční stav tohoto fondu činil na začátku roku 2020 částku 84 784,13 Kč. Tvora fondu ve výši 2% základního přídělu hrubých mezd činila 1 059 259,30 Kč. Největší podíl čerpání fondu tvořil příspěvek na stravování zaměstnanců</w:t>
      </w:r>
      <w:r w:rsidR="00E14667">
        <w:rPr>
          <w:sz w:val="24"/>
          <w:szCs w:val="24"/>
        </w:rPr>
        <w:t xml:space="preserve"> a to ve výši </w:t>
      </w:r>
    </w:p>
    <w:p w:rsidR="007E3D9C" w:rsidRDefault="00E14667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777 108 Kč. Prostředky fondu byly dále použity na výplaty odměn při životních a pracovních výročích a to 1</w:t>
      </w:r>
      <w:r w:rsidR="009B3C2E">
        <w:rPr>
          <w:sz w:val="24"/>
          <w:szCs w:val="24"/>
        </w:rPr>
        <w:t>9</w:t>
      </w:r>
      <w:r>
        <w:rPr>
          <w:sz w:val="24"/>
          <w:szCs w:val="24"/>
        </w:rPr>
        <w:t xml:space="preserve"> pracovníků v celkové výši </w:t>
      </w:r>
      <w:r w:rsidR="009B3C2E">
        <w:rPr>
          <w:sz w:val="24"/>
          <w:szCs w:val="24"/>
        </w:rPr>
        <w:t>76</w:t>
      </w:r>
      <w:r>
        <w:rPr>
          <w:sz w:val="24"/>
          <w:szCs w:val="24"/>
        </w:rPr>
        <w:t xml:space="preserve"> 000 Kč, 17 zaměstnancům byl poskytnut příspěvek na pobyt jejich dětí na letních táborech v celkové výši 33 900 Kč a v rámci ozdravného programu byly zaměstnancům poskytnuty poukázky v celkové výši </w:t>
      </w:r>
      <w:r w:rsidR="009B3C2E">
        <w:rPr>
          <w:sz w:val="24"/>
          <w:szCs w:val="24"/>
        </w:rPr>
        <w:t xml:space="preserve">52 600 Kč a třem pracovnicím byl poskytnut příspěvek na výuku cizích jazyků </w:t>
      </w:r>
      <w:proofErr w:type="gramStart"/>
      <w:r w:rsidR="009B3C2E">
        <w:rPr>
          <w:sz w:val="24"/>
          <w:szCs w:val="24"/>
        </w:rPr>
        <w:t>ve</w:t>
      </w:r>
      <w:proofErr w:type="gramEnd"/>
      <w:r w:rsidR="009B3C2E">
        <w:rPr>
          <w:sz w:val="24"/>
          <w:szCs w:val="24"/>
        </w:rPr>
        <w:t xml:space="preserve"> celkové výši 6 525 Kč. Konečný zůstatek fondu činí 183 035,43 Kč.</w:t>
      </w:r>
    </w:p>
    <w:p w:rsidR="009B3C2E" w:rsidRDefault="009B3C2E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Čerpání prostředků fondu kulturních a sociálních potřeb se řídí zásadami pro jeho použití, které jsou přílohou kolektivní smlouvy.</w:t>
      </w:r>
    </w:p>
    <w:p w:rsidR="009B3C2E" w:rsidRDefault="009B3C2E" w:rsidP="001D133B">
      <w:pPr>
        <w:pStyle w:val="Odstavecseseznamem"/>
        <w:spacing w:after="0"/>
        <w:rPr>
          <w:sz w:val="24"/>
          <w:szCs w:val="24"/>
        </w:rPr>
      </w:pPr>
    </w:p>
    <w:p w:rsidR="009B3C2E" w:rsidRDefault="0090023C" w:rsidP="001D133B">
      <w:pPr>
        <w:pStyle w:val="Odstavecseseznamem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Fond reprodukce majetku</w:t>
      </w:r>
    </w:p>
    <w:p w:rsidR="00667629" w:rsidRDefault="0090023C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Počáteční stav fondu reprodukce majetku ve výši 11 921 396,98 Kč byl zcela kryt finančními prostředky. Tvorba fondu ve výši odpisů činila 9 986 305 Kč a tvorba z investičního transferu výdajů na pořízení dlouhodobého majetku v rámci projektu IROP-Revitalizace UMPRUM</w:t>
      </w:r>
      <w:r w:rsidR="00667629">
        <w:rPr>
          <w:sz w:val="24"/>
          <w:szCs w:val="24"/>
        </w:rPr>
        <w:t xml:space="preserve"> byla 52 454 093,58 Kč. V roce 2020 byla značná část prostředků použita na pořízení a zhodnocení dlouhodobého majetek ve výši 7 340 854,72 Kč, z toho na nákup sbírkových předmětů byla použita částka </w:t>
      </w:r>
    </w:p>
    <w:p w:rsidR="0090023C" w:rsidRDefault="00667629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5 524 380 Kč. Vzhledem k dostatečným finančním zdrojům ke krytí potřeb galerie, nebylo nutné v plném rozsahu čerpat prostředky fondu reprodukce majetku jako doplňkového zdroje financování. Proti schválenému rozpočtu ve výši 6 mil. Kč bylo k tomuto účelu použito pouze 996 319 Kč.</w:t>
      </w:r>
    </w:p>
    <w:p w:rsidR="00667629" w:rsidRDefault="00667629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Konkrétní použití prostředků fondu reprodukce majetku k nákupu a zhodnocení dlouhodobého hmotného a nehmotného majetku je uvedeno v příloze č. 3. Konečný </w:t>
      </w:r>
      <w:r>
        <w:rPr>
          <w:sz w:val="24"/>
          <w:szCs w:val="24"/>
        </w:rPr>
        <w:lastRenderedPageBreak/>
        <w:t xml:space="preserve">zůstatek fondu ve výši 13 570 528,26 Kč je plně pokryt finančními prostředky. Tyto prostředky budou využity v následujícím roce na dofinancování části </w:t>
      </w:r>
      <w:r w:rsidR="00C73E98">
        <w:rPr>
          <w:sz w:val="24"/>
          <w:szCs w:val="24"/>
        </w:rPr>
        <w:t>zvýšených nákladů na revitalizaci Uměleckoprůmyslového muzea.</w:t>
      </w:r>
    </w:p>
    <w:p w:rsidR="00C73E98" w:rsidRDefault="00C73E98" w:rsidP="00C73E98">
      <w:pPr>
        <w:spacing w:after="0"/>
        <w:rPr>
          <w:sz w:val="24"/>
          <w:szCs w:val="24"/>
        </w:rPr>
      </w:pPr>
    </w:p>
    <w:p w:rsidR="00C73E98" w:rsidRPr="00C73E98" w:rsidRDefault="00C73E98" w:rsidP="00C73E98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Mzdové náklady</w:t>
      </w:r>
    </w:p>
    <w:p w:rsidR="00C73E98" w:rsidRDefault="00C73E98" w:rsidP="00C73E98">
      <w:pPr>
        <w:pStyle w:val="Odstavecseseznamem"/>
        <w:spacing w:after="0"/>
        <w:rPr>
          <w:sz w:val="24"/>
          <w:szCs w:val="24"/>
        </w:rPr>
      </w:pPr>
    </w:p>
    <w:p w:rsidR="00C73E98" w:rsidRDefault="00C73E98" w:rsidP="00C73E9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Pro rok 2020 byl galerii stanoven závazný ukazatel přepočteného stavu zaměstnanců ve výši 142 pracovníků a průběhu roku byl rozpočtovou úpravou navýšen o 1,55 na realizaci projektu NAKI II. Skutečný přepočtený stav k </w:t>
      </w:r>
      <w:proofErr w:type="gramStart"/>
      <w:r>
        <w:rPr>
          <w:sz w:val="24"/>
          <w:szCs w:val="24"/>
        </w:rPr>
        <w:t>31.12.2020</w:t>
      </w:r>
      <w:proofErr w:type="gramEnd"/>
      <w:r>
        <w:rPr>
          <w:sz w:val="24"/>
          <w:szCs w:val="24"/>
        </w:rPr>
        <w:t xml:space="preserve"> byl 135,67 pracovníků. Tento přechodný pokles stavu zaměstnanců je způsoben snížením počtu pracovníků ostrahy z důvodu uzavření budovy Uměleckoprůmyslového muzea v souvislosti s jeho rekonstrukcí. Tento stav je pouze </w:t>
      </w:r>
      <w:proofErr w:type="gramStart"/>
      <w:r>
        <w:rPr>
          <w:sz w:val="24"/>
          <w:szCs w:val="24"/>
        </w:rPr>
        <w:t>dočasný a jakmile</w:t>
      </w:r>
      <w:proofErr w:type="gramEnd"/>
      <w:r>
        <w:rPr>
          <w:sz w:val="24"/>
          <w:szCs w:val="24"/>
        </w:rPr>
        <w:t xml:space="preserve"> bude projekt revitalizace objektu dokončen (předpoklad je září 2021), bude znovu potřeba doplnit stav pracovníků ostrahy na původní počet.</w:t>
      </w:r>
    </w:p>
    <w:p w:rsidR="00C73E98" w:rsidRDefault="00C73E98" w:rsidP="00C73E98">
      <w:pPr>
        <w:pStyle w:val="Odstavecseseznamem"/>
        <w:spacing w:after="0"/>
        <w:rPr>
          <w:sz w:val="24"/>
          <w:szCs w:val="24"/>
        </w:rPr>
      </w:pPr>
    </w:p>
    <w:p w:rsidR="00C73E98" w:rsidRDefault="00C73E98" w:rsidP="00C73E9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Schváleným rozpočtem byl galerii stanoven limit čerpání prostředků na platy ve výši</w:t>
      </w:r>
    </w:p>
    <w:p w:rsidR="00EE18AA" w:rsidRDefault="00C73E98" w:rsidP="00C73E9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50 504 528 Kč a na ostatní osobní náklady ve výši 540 000 Kč. Spolu s rozpočtem prostředků na dávky nemocenského pojištění ve výši 180 000 Kč, byla celková částka schváleného rozpočtu mzdových nákladů ve výši </w:t>
      </w:r>
      <w:r w:rsidR="003609AD">
        <w:rPr>
          <w:sz w:val="24"/>
          <w:szCs w:val="24"/>
        </w:rPr>
        <w:t>51 224 528 Kč.</w:t>
      </w:r>
      <w:r w:rsidR="00E85BF6">
        <w:rPr>
          <w:sz w:val="24"/>
          <w:szCs w:val="24"/>
        </w:rPr>
        <w:t xml:space="preserve"> V průběhu roku došlo rozpočtovými úpravami k navýšení schváleného rozpočtu prostředků na platy o částku 186 000 Kč a v rámci věd</w:t>
      </w:r>
      <w:r w:rsidR="00BD4D14">
        <w:rPr>
          <w:sz w:val="24"/>
          <w:szCs w:val="24"/>
        </w:rPr>
        <w:t>e</w:t>
      </w:r>
      <w:r w:rsidR="00E85BF6">
        <w:rPr>
          <w:sz w:val="24"/>
          <w:szCs w:val="24"/>
        </w:rPr>
        <w:t xml:space="preserve">ckovýzkumné činnosti o částku 1 597 000 Kč. </w:t>
      </w:r>
      <w:r w:rsidR="00EE18AA">
        <w:rPr>
          <w:sz w:val="24"/>
          <w:szCs w:val="24"/>
        </w:rPr>
        <w:t xml:space="preserve">           </w:t>
      </w:r>
      <w:r w:rsidR="00E85BF6">
        <w:rPr>
          <w:sz w:val="24"/>
          <w:szCs w:val="24"/>
        </w:rPr>
        <w:t>U ostatních osobních výdajů byl schválený rozpočet ve výši 540 000 Kč navýšen o částku 1 238 000 Kč z dotačních prostředků na vědu a výzkum a v závěru roku při přehodnocení prostředků příspěvk</w:t>
      </w:r>
      <w:r w:rsidR="00EE18AA">
        <w:rPr>
          <w:sz w:val="24"/>
          <w:szCs w:val="24"/>
        </w:rPr>
        <w:t xml:space="preserve">ů na kulturní aktivity </w:t>
      </w:r>
      <w:r w:rsidR="00E85BF6">
        <w:rPr>
          <w:sz w:val="24"/>
          <w:szCs w:val="24"/>
        </w:rPr>
        <w:t xml:space="preserve">byl limit prostředků na OON snížen o 30 000 </w:t>
      </w:r>
      <w:proofErr w:type="gramStart"/>
      <w:r w:rsidR="00E85BF6">
        <w:rPr>
          <w:sz w:val="24"/>
          <w:szCs w:val="24"/>
        </w:rPr>
        <w:t>Kč</w:t>
      </w:r>
      <w:r w:rsidR="00EE18AA">
        <w:rPr>
          <w:sz w:val="24"/>
          <w:szCs w:val="24"/>
        </w:rPr>
        <w:t xml:space="preserve">  týkající</w:t>
      </w:r>
      <w:proofErr w:type="gramEnd"/>
      <w:r w:rsidR="00EE18AA">
        <w:rPr>
          <w:sz w:val="24"/>
          <w:szCs w:val="24"/>
        </w:rPr>
        <w:t xml:space="preserve"> se nevyužití těchto prostředků na projekt Brněnská muzejní noc. V roce </w:t>
      </w:r>
      <w:proofErr w:type="gramStart"/>
      <w:r w:rsidR="00EE18AA">
        <w:rPr>
          <w:sz w:val="24"/>
          <w:szCs w:val="24"/>
        </w:rPr>
        <w:t>2020  bylo</w:t>
      </w:r>
      <w:proofErr w:type="gramEnd"/>
      <w:r w:rsidR="00EE18AA">
        <w:rPr>
          <w:sz w:val="24"/>
          <w:szCs w:val="24"/>
        </w:rPr>
        <w:t xml:space="preserve"> refundováno společnosti IQ Roma servis 28 596 Kč v rámci projektu zapojení některých skupin obyvatelstva do pracovního procesu a </w:t>
      </w:r>
    </w:p>
    <w:p w:rsidR="00C73E98" w:rsidRDefault="00EE18AA" w:rsidP="00C73E9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60 000 Kč bylo použito prostředků určených na ostatní osobní výdaje z dotace Magistrátu města Brna na přípravu rozsáhlého projektu s názvem Rodinné záležitosti.</w:t>
      </w:r>
    </w:p>
    <w:p w:rsidR="00EE18AA" w:rsidRDefault="00EE18AA" w:rsidP="00C73E9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Vlivem navýšení hodnoty jednotkové sazby dohod došlo k překročení schváleného rozpočtu OON o 88 004 Kč, které byly pokryty prostředky fondu odměn.</w:t>
      </w:r>
    </w:p>
    <w:p w:rsidR="00EE18AA" w:rsidRDefault="00EE18AA" w:rsidP="00C73E98">
      <w:pPr>
        <w:pStyle w:val="Odstavecseseznamem"/>
        <w:spacing w:after="0"/>
        <w:rPr>
          <w:sz w:val="24"/>
          <w:szCs w:val="24"/>
        </w:rPr>
      </w:pPr>
    </w:p>
    <w:p w:rsidR="00EE18AA" w:rsidRDefault="00EE18AA" w:rsidP="00C73E9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roce 2020 došlo také k výraznému překročení rozpočtu prostředků na dávky nemocenského pojištění, které bylo posíleno </w:t>
      </w:r>
      <w:r w:rsidR="00135373">
        <w:rPr>
          <w:sz w:val="24"/>
          <w:szCs w:val="24"/>
        </w:rPr>
        <w:t xml:space="preserve">zvýšením pracovní neschopnosti v době pandemie. Proti schválenému rozpočtu ve výši 180 000 Kč </w:t>
      </w:r>
      <w:proofErr w:type="gramStart"/>
      <w:r w:rsidR="00135373">
        <w:rPr>
          <w:sz w:val="24"/>
          <w:szCs w:val="24"/>
        </w:rPr>
        <w:t>činila</w:t>
      </w:r>
      <w:r w:rsidR="00BD4D14">
        <w:rPr>
          <w:sz w:val="24"/>
          <w:szCs w:val="24"/>
        </w:rPr>
        <w:t xml:space="preserve"> dosáhla</w:t>
      </w:r>
      <w:proofErr w:type="gramEnd"/>
      <w:r w:rsidR="00135373">
        <w:rPr>
          <w:sz w:val="24"/>
          <w:szCs w:val="24"/>
        </w:rPr>
        <w:t xml:space="preserve"> skutečnost     </w:t>
      </w:r>
      <w:r w:rsidR="00BD4D14">
        <w:rPr>
          <w:sz w:val="24"/>
          <w:szCs w:val="24"/>
        </w:rPr>
        <w:t xml:space="preserve">výše </w:t>
      </w:r>
      <w:r w:rsidR="00135373">
        <w:rPr>
          <w:sz w:val="24"/>
          <w:szCs w:val="24"/>
        </w:rPr>
        <w:t>473 630 Kč. Vývoj tohoto ukazatele lze jen velmi těžko předvídat.</w:t>
      </w:r>
    </w:p>
    <w:p w:rsidR="00135373" w:rsidRDefault="00135373" w:rsidP="00C73E98">
      <w:pPr>
        <w:pStyle w:val="Odstavecseseznamem"/>
        <w:spacing w:after="0"/>
        <w:rPr>
          <w:sz w:val="24"/>
          <w:szCs w:val="24"/>
        </w:rPr>
      </w:pPr>
    </w:p>
    <w:p w:rsidR="00DA3B27" w:rsidRDefault="00135373" w:rsidP="00C73E9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Rozbor mzdových nákladů v delší časové řadě od roku</w:t>
      </w:r>
      <w:r w:rsidR="00DA3B27">
        <w:rPr>
          <w:sz w:val="24"/>
          <w:szCs w:val="24"/>
        </w:rPr>
        <w:t xml:space="preserve"> 2010</w:t>
      </w:r>
      <w:r>
        <w:rPr>
          <w:sz w:val="24"/>
          <w:szCs w:val="24"/>
        </w:rPr>
        <w:t xml:space="preserve"> je uveden v příloze </w:t>
      </w:r>
    </w:p>
    <w:p w:rsidR="00DA3B27" w:rsidRDefault="00DA3B27" w:rsidP="00C73E98">
      <w:pPr>
        <w:pStyle w:val="Odstavecseseznamem"/>
        <w:spacing w:after="0"/>
        <w:rPr>
          <w:sz w:val="24"/>
          <w:szCs w:val="24"/>
        </w:rPr>
      </w:pPr>
    </w:p>
    <w:p w:rsidR="00DA3B27" w:rsidRDefault="00DA3B27" w:rsidP="00C73E98">
      <w:pPr>
        <w:pStyle w:val="Odstavecseseznamem"/>
        <w:spacing w:after="0"/>
        <w:rPr>
          <w:sz w:val="24"/>
          <w:szCs w:val="24"/>
        </w:rPr>
      </w:pPr>
    </w:p>
    <w:p w:rsidR="00DA3B27" w:rsidRDefault="00DA3B27" w:rsidP="00C73E98">
      <w:pPr>
        <w:pStyle w:val="Odstavecseseznamem"/>
        <w:spacing w:after="0"/>
        <w:rPr>
          <w:sz w:val="24"/>
          <w:szCs w:val="24"/>
        </w:rPr>
      </w:pPr>
    </w:p>
    <w:p w:rsidR="0090023C" w:rsidRDefault="00135373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zprávy </w:t>
      </w:r>
      <w:r w:rsidRPr="00DA3B27">
        <w:rPr>
          <w:sz w:val="24"/>
          <w:szCs w:val="24"/>
        </w:rPr>
        <w:t>č. 14.</w:t>
      </w:r>
      <w:r w:rsidR="00DA3B27">
        <w:rPr>
          <w:sz w:val="24"/>
          <w:szCs w:val="24"/>
        </w:rPr>
        <w:t xml:space="preserve"> a</w:t>
      </w:r>
      <w:r w:rsidRPr="00DA3B27">
        <w:rPr>
          <w:sz w:val="24"/>
          <w:szCs w:val="24"/>
        </w:rPr>
        <w:t xml:space="preserve"> dokumentuje výrazný posun především v nárůstu prostředků na platy, které od roku 2010 vzrostly o </w:t>
      </w:r>
      <w:r w:rsidR="00DA3B27">
        <w:rPr>
          <w:sz w:val="24"/>
          <w:szCs w:val="24"/>
        </w:rPr>
        <w:t>62,3 % a</w:t>
      </w:r>
      <w:r w:rsidRPr="00DA3B27">
        <w:rPr>
          <w:sz w:val="24"/>
          <w:szCs w:val="24"/>
        </w:rPr>
        <w:t xml:space="preserve"> tomu odpovídá i výše průměrných platů, jejichž růst dosáhl výše</w:t>
      </w:r>
      <w:r w:rsidR="00DA3B27">
        <w:rPr>
          <w:sz w:val="24"/>
          <w:szCs w:val="24"/>
        </w:rPr>
        <w:t xml:space="preserve"> 83,7 %.</w:t>
      </w:r>
    </w:p>
    <w:p w:rsidR="00DA3B27" w:rsidRDefault="00DA3B27" w:rsidP="001D133B">
      <w:pPr>
        <w:pStyle w:val="Odstavecseseznamem"/>
        <w:spacing w:after="0"/>
        <w:rPr>
          <w:sz w:val="24"/>
          <w:szCs w:val="24"/>
        </w:rPr>
      </w:pPr>
    </w:p>
    <w:p w:rsidR="00DA3B27" w:rsidRDefault="00DA3B27" w:rsidP="001D133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Přehled zdrojů a čerpání prostředků na platy a ostatní osobní náklady v roce 2020:</w:t>
      </w:r>
    </w:p>
    <w:p w:rsidR="00DA3B27" w:rsidRDefault="00DA3B27" w:rsidP="001D133B">
      <w:pPr>
        <w:pStyle w:val="Odstavecseseznamem"/>
        <w:spacing w:after="0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10"/>
        <w:gridCol w:w="1298"/>
        <w:gridCol w:w="1001"/>
        <w:gridCol w:w="1205"/>
        <w:gridCol w:w="1326"/>
      </w:tblGrid>
      <w:tr w:rsidR="00DA3B27" w:rsidTr="00DA3B27">
        <w:tc>
          <w:tcPr>
            <w:tcW w:w="0" w:type="auto"/>
          </w:tcPr>
          <w:p w:rsidR="00DA3B27" w:rsidRPr="00DA3B27" w:rsidRDefault="00DA3B27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zdroje v Kč</w:t>
            </w:r>
          </w:p>
        </w:tc>
        <w:tc>
          <w:tcPr>
            <w:tcW w:w="0" w:type="auto"/>
          </w:tcPr>
          <w:p w:rsidR="00DA3B27" w:rsidRPr="00DA3B27" w:rsidRDefault="00DA3B27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platy</w:t>
            </w:r>
          </w:p>
        </w:tc>
        <w:tc>
          <w:tcPr>
            <w:tcW w:w="0" w:type="auto"/>
          </w:tcPr>
          <w:p w:rsidR="00DA3B27" w:rsidRPr="00DA3B27" w:rsidRDefault="00DA3B27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DNP</w:t>
            </w:r>
          </w:p>
        </w:tc>
        <w:tc>
          <w:tcPr>
            <w:tcW w:w="0" w:type="auto"/>
          </w:tcPr>
          <w:p w:rsidR="00DA3B27" w:rsidRPr="00DA3B27" w:rsidRDefault="00DA3B27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</w:t>
            </w:r>
          </w:p>
        </w:tc>
        <w:tc>
          <w:tcPr>
            <w:tcW w:w="0" w:type="auto"/>
          </w:tcPr>
          <w:p w:rsidR="00DA3B27" w:rsidRP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</w:tr>
      <w:tr w:rsidR="00DA3B27" w:rsidTr="00DA3B27">
        <w:tc>
          <w:tcPr>
            <w:tcW w:w="0" w:type="auto"/>
          </w:tcPr>
          <w:p w:rsidR="00DA3B27" w:rsidRPr="00DA3B27" w:rsidRDefault="00DA3B27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schválený rozpočet</w:t>
            </w:r>
          </w:p>
        </w:tc>
        <w:tc>
          <w:tcPr>
            <w:tcW w:w="0" w:type="auto"/>
          </w:tcPr>
          <w:p w:rsidR="00DA3B27" w:rsidRPr="00DA3B27" w:rsidRDefault="00DA3B27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50 504 528</w:t>
            </w:r>
          </w:p>
        </w:tc>
        <w:tc>
          <w:tcPr>
            <w:tcW w:w="0" w:type="auto"/>
          </w:tcPr>
          <w:p w:rsidR="00DA3B27" w:rsidRPr="00DA3B27" w:rsidRDefault="00DA3B27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180 000</w:t>
            </w:r>
          </w:p>
        </w:tc>
        <w:tc>
          <w:tcPr>
            <w:tcW w:w="0" w:type="auto"/>
          </w:tcPr>
          <w:p w:rsidR="00DA3B27" w:rsidRPr="00DA3B27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540 000</w:t>
            </w: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51 224 528</w:t>
            </w:r>
          </w:p>
        </w:tc>
      </w:tr>
      <w:tr w:rsidR="00DA3B27" w:rsidTr="00DA3B27"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úpravy rozpočtu</w:t>
            </w: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186 000</w:t>
            </w: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186 000</w:t>
            </w:r>
          </w:p>
        </w:tc>
      </w:tr>
      <w:tr w:rsidR="00DA3B27" w:rsidTr="00DA3B27"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 DKRVO</w:t>
            </w: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1 000 000</w:t>
            </w: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50 000</w:t>
            </w: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1 050 000</w:t>
            </w:r>
          </w:p>
        </w:tc>
      </w:tr>
      <w:tr w:rsidR="00DA3B27" w:rsidTr="00DA3B27"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NAKI II</w:t>
            </w: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597 000</w:t>
            </w: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1 188 000</w:t>
            </w: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1 785 000</w:t>
            </w:r>
          </w:p>
        </w:tc>
      </w:tr>
      <w:tr w:rsidR="00DA3B27" w:rsidTr="00DA3B27"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vnitřní úprava rozpočtu</w:t>
            </w: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-30 000</w:t>
            </w:r>
          </w:p>
        </w:tc>
        <w:tc>
          <w:tcPr>
            <w:tcW w:w="0" w:type="auto"/>
          </w:tcPr>
          <w:p w:rsidR="00DA3B27" w:rsidRPr="001535BC" w:rsidRDefault="001535BC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- 30 000</w:t>
            </w:r>
          </w:p>
        </w:tc>
      </w:tr>
      <w:tr w:rsidR="00DA3B27" w:rsidTr="00DA3B27">
        <w:tc>
          <w:tcPr>
            <w:tcW w:w="0" w:type="auto"/>
          </w:tcPr>
          <w:p w:rsidR="00DA3B27" w:rsidRPr="001535BC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Prostředky TAČR a SMB</w:t>
            </w:r>
          </w:p>
        </w:tc>
        <w:tc>
          <w:tcPr>
            <w:tcW w:w="0" w:type="auto"/>
          </w:tcPr>
          <w:p w:rsidR="00DA3B27" w:rsidRPr="0047496B" w:rsidRDefault="0047496B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201 809</w:t>
            </w: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60 000</w:t>
            </w:r>
          </w:p>
        </w:tc>
        <w:tc>
          <w:tcPr>
            <w:tcW w:w="0" w:type="auto"/>
          </w:tcPr>
          <w:p w:rsidR="00DA3B27" w:rsidRPr="0047496B" w:rsidRDefault="0047496B" w:rsidP="003B68FD">
            <w:pPr>
              <w:pStyle w:val="Odstavecseseznamem"/>
              <w:ind w:left="0"/>
              <w:rPr>
                <w:sz w:val="24"/>
                <w:szCs w:val="24"/>
              </w:rPr>
            </w:pPr>
            <w:r w:rsidRPr="0047496B">
              <w:rPr>
                <w:b/>
                <w:sz w:val="24"/>
                <w:szCs w:val="24"/>
              </w:rPr>
              <w:t xml:space="preserve">     2</w:t>
            </w:r>
            <w:r w:rsidR="003B68FD">
              <w:rPr>
                <w:b/>
                <w:sz w:val="24"/>
                <w:szCs w:val="24"/>
              </w:rPr>
              <w:t>6</w:t>
            </w:r>
            <w:r w:rsidRPr="0047496B">
              <w:rPr>
                <w:b/>
                <w:sz w:val="24"/>
                <w:szCs w:val="24"/>
              </w:rPr>
              <w:t>1 809</w:t>
            </w:r>
          </w:p>
        </w:tc>
      </w:tr>
      <w:tr w:rsidR="0047496B" w:rsidTr="00DA3B27">
        <w:tc>
          <w:tcPr>
            <w:tcW w:w="0" w:type="auto"/>
          </w:tcPr>
          <w:p w:rsidR="0047496B" w:rsidRPr="0047496B" w:rsidRDefault="0047496B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celkem</w:t>
            </w:r>
          </w:p>
        </w:tc>
        <w:tc>
          <w:tcPr>
            <w:tcW w:w="0" w:type="auto"/>
          </w:tcPr>
          <w:p w:rsidR="0047496B" w:rsidRPr="0047496B" w:rsidRDefault="0047496B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52 489 337</w:t>
            </w:r>
          </w:p>
        </w:tc>
        <w:tc>
          <w:tcPr>
            <w:tcW w:w="0" w:type="auto"/>
          </w:tcPr>
          <w:p w:rsidR="0047496B" w:rsidRPr="0047496B" w:rsidRDefault="0047496B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180 000</w:t>
            </w:r>
          </w:p>
        </w:tc>
        <w:tc>
          <w:tcPr>
            <w:tcW w:w="0" w:type="auto"/>
          </w:tcPr>
          <w:p w:rsidR="0047496B" w:rsidRPr="0047496B" w:rsidRDefault="0047496B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1 748 000</w:t>
            </w:r>
          </w:p>
        </w:tc>
        <w:tc>
          <w:tcPr>
            <w:tcW w:w="0" w:type="auto"/>
          </w:tcPr>
          <w:p w:rsidR="0047496B" w:rsidRPr="0047496B" w:rsidRDefault="0047496B" w:rsidP="003B68FD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54 4</w:t>
            </w:r>
            <w:r w:rsidR="003B68F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7 337</w:t>
            </w:r>
          </w:p>
        </w:tc>
      </w:tr>
      <w:tr w:rsidR="00DA3B27" w:rsidTr="00DA3B27">
        <w:tc>
          <w:tcPr>
            <w:tcW w:w="0" w:type="auto"/>
          </w:tcPr>
          <w:p w:rsidR="00DA3B27" w:rsidRPr="0047496B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7496B">
              <w:rPr>
                <w:sz w:val="24"/>
                <w:szCs w:val="24"/>
              </w:rPr>
              <w:t>kutečnost 2020</w:t>
            </w:r>
          </w:p>
        </w:tc>
        <w:tc>
          <w:tcPr>
            <w:tcW w:w="0" w:type="auto"/>
          </w:tcPr>
          <w:p w:rsidR="00DA3B27" w:rsidRPr="0047496B" w:rsidRDefault="0047496B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52 489 337</w:t>
            </w:r>
          </w:p>
        </w:tc>
        <w:tc>
          <w:tcPr>
            <w:tcW w:w="0" w:type="auto"/>
          </w:tcPr>
          <w:p w:rsidR="00DA3B27" w:rsidRPr="0047496B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473 630</w:t>
            </w:r>
          </w:p>
        </w:tc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1 924 600</w:t>
            </w:r>
          </w:p>
        </w:tc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B68FD">
              <w:rPr>
                <w:b/>
                <w:sz w:val="24"/>
                <w:szCs w:val="24"/>
              </w:rPr>
              <w:t>54 887 567</w:t>
            </w:r>
          </w:p>
        </w:tc>
      </w:tr>
      <w:tr w:rsidR="00DA3B27" w:rsidTr="00DA3B27"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refundace OON</w:t>
            </w: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28 596</w:t>
            </w:r>
          </w:p>
        </w:tc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B68FD">
              <w:rPr>
                <w:b/>
                <w:sz w:val="24"/>
                <w:szCs w:val="24"/>
              </w:rPr>
              <w:t xml:space="preserve">       28 596</w:t>
            </w:r>
          </w:p>
        </w:tc>
      </w:tr>
      <w:tr w:rsidR="00DA3B27" w:rsidTr="00DA3B27"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použití fondu odměn</w:t>
            </w: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Default="00DA3B27" w:rsidP="001D133B">
            <w:pPr>
              <w:pStyle w:val="Odstavecseseznamem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88 004</w:t>
            </w:r>
          </w:p>
        </w:tc>
        <w:tc>
          <w:tcPr>
            <w:tcW w:w="0" w:type="auto"/>
          </w:tcPr>
          <w:p w:rsidR="00DA3B27" w:rsidRPr="003B68FD" w:rsidRDefault="003B68FD" w:rsidP="001D133B">
            <w:pPr>
              <w:pStyle w:val="Odstavecseseznamem"/>
              <w:ind w:left="0"/>
              <w:rPr>
                <w:b/>
                <w:sz w:val="24"/>
                <w:szCs w:val="24"/>
              </w:rPr>
            </w:pPr>
            <w:r w:rsidRPr="003B68FD">
              <w:rPr>
                <w:b/>
                <w:sz w:val="24"/>
                <w:szCs w:val="24"/>
              </w:rPr>
              <w:t xml:space="preserve">       88 004</w:t>
            </w:r>
          </w:p>
        </w:tc>
      </w:tr>
    </w:tbl>
    <w:p w:rsidR="00DA3B27" w:rsidRPr="009B3C2E" w:rsidRDefault="00DA3B27" w:rsidP="001D133B">
      <w:pPr>
        <w:pStyle w:val="Odstavecseseznamem"/>
        <w:spacing w:after="0"/>
        <w:rPr>
          <w:b/>
          <w:sz w:val="24"/>
          <w:szCs w:val="24"/>
          <w:u w:val="single"/>
        </w:rPr>
      </w:pPr>
    </w:p>
    <w:p w:rsidR="007E3D9C" w:rsidRDefault="007E3D9C" w:rsidP="001D133B">
      <w:pPr>
        <w:pStyle w:val="Odstavecseseznamem"/>
        <w:spacing w:after="0"/>
        <w:rPr>
          <w:sz w:val="24"/>
          <w:szCs w:val="24"/>
        </w:rPr>
      </w:pPr>
    </w:p>
    <w:p w:rsidR="00734BC7" w:rsidRPr="003B68FD" w:rsidRDefault="003B68FD" w:rsidP="003B68FD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Bezúplatné převody majetku</w:t>
      </w:r>
    </w:p>
    <w:p w:rsidR="003B68FD" w:rsidRPr="003B68FD" w:rsidRDefault="003B68FD" w:rsidP="003B68FD">
      <w:pPr>
        <w:pStyle w:val="Odstavecseseznamem"/>
        <w:spacing w:after="0"/>
        <w:rPr>
          <w:sz w:val="24"/>
          <w:szCs w:val="24"/>
        </w:rPr>
      </w:pPr>
    </w:p>
    <w:p w:rsidR="00E518F2" w:rsidRDefault="00213DA0" w:rsidP="005A525A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roce 2020 nebyl ze strany galerie bezúplatně převeden žádný majetek.  Naproti tomu získala galerie do svých sbírek od soukromých osob darem sbírkové předměty v celkové hodnotě 174 700 Kč a od Úřadu pro zastupování státu ve věcech majetkových formou bezúplatného převodu další sbírkové </w:t>
      </w:r>
      <w:proofErr w:type="gramStart"/>
      <w:r>
        <w:rPr>
          <w:sz w:val="24"/>
          <w:szCs w:val="24"/>
        </w:rPr>
        <w:t xml:space="preserve">předměty  </w:t>
      </w:r>
      <w:r w:rsidR="00BD4D14">
        <w:rPr>
          <w:sz w:val="24"/>
          <w:szCs w:val="24"/>
        </w:rPr>
        <w:t xml:space="preserve">                v částce</w:t>
      </w:r>
      <w:proofErr w:type="gramEnd"/>
      <w:r w:rsidR="00BD4D14">
        <w:rPr>
          <w:sz w:val="24"/>
          <w:szCs w:val="24"/>
        </w:rPr>
        <w:t xml:space="preserve"> </w:t>
      </w:r>
      <w:r>
        <w:rPr>
          <w:sz w:val="24"/>
          <w:szCs w:val="24"/>
        </w:rPr>
        <w:t>6 100 Kč. Přehled bezúplatných převodů je uveden v příloze č. 2.</w:t>
      </w:r>
    </w:p>
    <w:p w:rsidR="00213DA0" w:rsidRDefault="00213DA0" w:rsidP="00213DA0">
      <w:pPr>
        <w:spacing w:after="0"/>
        <w:rPr>
          <w:sz w:val="24"/>
          <w:szCs w:val="24"/>
        </w:rPr>
      </w:pPr>
    </w:p>
    <w:p w:rsidR="00213DA0" w:rsidRPr="00213DA0" w:rsidRDefault="00213DA0" w:rsidP="00213DA0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Výsledky vnitřních a vnějších kontrol</w:t>
      </w:r>
    </w:p>
    <w:p w:rsidR="00213DA0" w:rsidRDefault="00213DA0" w:rsidP="00213DA0">
      <w:pPr>
        <w:pStyle w:val="Odstavecseseznamem"/>
        <w:spacing w:after="0"/>
        <w:rPr>
          <w:sz w:val="24"/>
          <w:szCs w:val="24"/>
        </w:rPr>
      </w:pPr>
    </w:p>
    <w:p w:rsidR="00213DA0" w:rsidRDefault="00213DA0" w:rsidP="00213DA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Oddělením interního auditu byl v roce 2020 proveden jeden</w:t>
      </w:r>
      <w:r w:rsidR="00B41C25">
        <w:rPr>
          <w:sz w:val="24"/>
          <w:szCs w:val="24"/>
        </w:rPr>
        <w:t xml:space="preserve"> obsáhlý audit, jehož cílem byla kontrola plnění nápravných opatření</w:t>
      </w:r>
      <w:r w:rsidR="00030B75">
        <w:rPr>
          <w:sz w:val="24"/>
          <w:szCs w:val="24"/>
        </w:rPr>
        <w:t xml:space="preserve"> z kontroly hospodaření s rozpočtovými prostředky a majetkem státu, která byla provedena pracovníky Odboru interního auditu a kontroly MK v termínu </w:t>
      </w:r>
      <w:proofErr w:type="gramStart"/>
      <w:r w:rsidR="00030B75">
        <w:rPr>
          <w:sz w:val="24"/>
          <w:szCs w:val="24"/>
        </w:rPr>
        <w:t>10.2.-</w:t>
      </w:r>
      <w:r w:rsidR="00BD4D14">
        <w:rPr>
          <w:sz w:val="24"/>
          <w:szCs w:val="24"/>
        </w:rPr>
        <w:t xml:space="preserve"> </w:t>
      </w:r>
      <w:r w:rsidR="00030B75">
        <w:rPr>
          <w:sz w:val="24"/>
          <w:szCs w:val="24"/>
        </w:rPr>
        <w:t>21.2.2020</w:t>
      </w:r>
      <w:proofErr w:type="gramEnd"/>
      <w:r w:rsidR="00030B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30B75">
        <w:rPr>
          <w:sz w:val="24"/>
          <w:szCs w:val="24"/>
        </w:rPr>
        <w:t>Hlavním cílem auditu bylo prověřit platnost interních řídících dokumentů.</w:t>
      </w:r>
    </w:p>
    <w:p w:rsidR="00030B75" w:rsidRDefault="00030B75" w:rsidP="00213DA0">
      <w:pPr>
        <w:pStyle w:val="Odstavecseseznamem"/>
        <w:spacing w:after="0"/>
        <w:rPr>
          <w:sz w:val="24"/>
          <w:szCs w:val="24"/>
        </w:rPr>
      </w:pPr>
    </w:p>
    <w:p w:rsidR="00030B75" w:rsidRDefault="00030B75" w:rsidP="00213DA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roce 2020 byly v Moravské galerii provedeny čtyři vnější kontroly, z toho tři zaměřené na hospodaření s veřejnými prostředky.</w:t>
      </w:r>
    </w:p>
    <w:p w:rsidR="00030B75" w:rsidRDefault="00030B75" w:rsidP="00213DA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 měsíci únoru byla provedena pracovníky Odboru interního auditu a kontroly MK obsáhlá kontrola hospodaření MG v roce 2019 zaměřená na efektivní a hospodárné využití prostředků, funkčnost vnitřního kontrolního systému, pokladní služby, pracovněprávní oblast, inventarizaci majetku a závazků, hospodaření s majetkem podle ZMS, hospodaření s motorovými vozidly</w:t>
      </w:r>
      <w:r w:rsidR="004C56CB">
        <w:rPr>
          <w:sz w:val="24"/>
          <w:szCs w:val="24"/>
        </w:rPr>
        <w:t xml:space="preserve">, čerpání dotací a účelových prostředků </w:t>
      </w:r>
      <w:r w:rsidR="004C56CB">
        <w:rPr>
          <w:sz w:val="24"/>
          <w:szCs w:val="24"/>
        </w:rPr>
        <w:lastRenderedPageBreak/>
        <w:t>na financování programů a kontrolu veřejných zakázek. Kontrolou nebyly zjištěny žádné nesrovnalosti, které by vedly k porušení rozpočtové kázně. Byly zjištěny nedostatky drobnějšího a formálního charakteru, ke kterým byla přijata nápravná opatření.</w:t>
      </w:r>
    </w:p>
    <w:p w:rsidR="004C56CB" w:rsidRDefault="004C56CB" w:rsidP="00213DA0">
      <w:pPr>
        <w:pStyle w:val="Odstavecseseznamem"/>
        <w:spacing w:after="0"/>
        <w:rPr>
          <w:sz w:val="24"/>
          <w:szCs w:val="24"/>
        </w:rPr>
      </w:pPr>
    </w:p>
    <w:p w:rsidR="004C56CB" w:rsidRDefault="004C56CB" w:rsidP="00213DA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Dále byla provedena veřejnosprávní kontrola</w:t>
      </w:r>
      <w:r w:rsidR="00CC06B8">
        <w:rPr>
          <w:sz w:val="24"/>
          <w:szCs w:val="24"/>
        </w:rPr>
        <w:t>, která byla provedena pracovníky Odboru výzkumu a vývoje ministerstva kultury</w:t>
      </w:r>
      <w:r w:rsidR="00BD4D14">
        <w:rPr>
          <w:sz w:val="24"/>
          <w:szCs w:val="24"/>
        </w:rPr>
        <w:t>,</w:t>
      </w:r>
      <w:r w:rsidR="00CC06B8">
        <w:rPr>
          <w:sz w:val="24"/>
          <w:szCs w:val="24"/>
        </w:rPr>
        <w:t xml:space="preserve"> jejímž obsahem bylo ověření využití prostředků, uznaných nákladů a finanční kontrola institucionální podpory výzkumné organizace Moravská galerie v Brně. Kontrolou nebyly zjištěny žádné nedostatky.</w:t>
      </w:r>
    </w:p>
    <w:p w:rsidR="00CC06B8" w:rsidRDefault="00CC06B8" w:rsidP="00213DA0">
      <w:pPr>
        <w:pStyle w:val="Odstavecseseznamem"/>
        <w:spacing w:after="0"/>
        <w:rPr>
          <w:sz w:val="24"/>
          <w:szCs w:val="24"/>
        </w:rPr>
      </w:pPr>
    </w:p>
    <w:p w:rsidR="00CC06B8" w:rsidRDefault="00CC06B8" w:rsidP="00213DA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Třetí kontrola, která byla provedena pracovníky Samostatného oddělení kontroly MK</w:t>
      </w:r>
      <w:r w:rsidR="008F023B">
        <w:rPr>
          <w:sz w:val="24"/>
          <w:szCs w:val="24"/>
        </w:rPr>
        <w:t>,</w:t>
      </w:r>
      <w:r>
        <w:rPr>
          <w:sz w:val="24"/>
          <w:szCs w:val="24"/>
        </w:rPr>
        <w:t xml:space="preserve"> byla zaměřena na přijetí a plnění opatření ke zjištěním NKÚ v oblasti ochrany sbírek muzejní povahy ve vlastnictví České republiky z hlediska účelnosti a souladu s právními předpisy. Také touto kontrolou nebyly zjištěny žádné nedostatky.</w:t>
      </w:r>
    </w:p>
    <w:p w:rsidR="00CC06B8" w:rsidRDefault="00CC06B8" w:rsidP="00213DA0">
      <w:pPr>
        <w:pStyle w:val="Odstavecseseznamem"/>
        <w:spacing w:after="0"/>
        <w:rPr>
          <w:sz w:val="24"/>
          <w:szCs w:val="24"/>
        </w:rPr>
      </w:pPr>
    </w:p>
    <w:p w:rsidR="00CC06B8" w:rsidRDefault="00CC06B8" w:rsidP="00213DA0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Poslední vnější kontrolou bylo místní šetření pracovníků České inspekce životního prostředí, oblastního inspektorátu v Brně. Obsahem šetření bylo prověřit úhyn tří</w:t>
      </w:r>
      <w:r w:rsidR="008F023B">
        <w:rPr>
          <w:sz w:val="24"/>
          <w:szCs w:val="24"/>
        </w:rPr>
        <w:t xml:space="preserve"> poštolek a dvou drobných pěvců, uvízlých v ochranných sítích, nainstalovaných v podstřeší depozitární budovy v Brně Řečkovicích. Tyto sítě byly ihned </w:t>
      </w:r>
      <w:proofErr w:type="gramStart"/>
      <w:r w:rsidR="00BD4D14">
        <w:rPr>
          <w:sz w:val="24"/>
          <w:szCs w:val="24"/>
        </w:rPr>
        <w:t>odstraněny</w:t>
      </w:r>
      <w:r w:rsidR="008F023B">
        <w:rPr>
          <w:sz w:val="24"/>
          <w:szCs w:val="24"/>
        </w:rPr>
        <w:t xml:space="preserve">  s tím</w:t>
      </w:r>
      <w:proofErr w:type="gramEnd"/>
      <w:r w:rsidR="008F023B">
        <w:rPr>
          <w:sz w:val="24"/>
          <w:szCs w:val="24"/>
        </w:rPr>
        <w:t>, že výsledek šetření bude znám na začátku roku 2021.</w:t>
      </w:r>
    </w:p>
    <w:p w:rsidR="00BD4D14" w:rsidRDefault="00BD4D14" w:rsidP="00BD4D14">
      <w:pPr>
        <w:spacing w:after="0"/>
        <w:rPr>
          <w:sz w:val="24"/>
          <w:szCs w:val="24"/>
        </w:rPr>
      </w:pPr>
    </w:p>
    <w:p w:rsidR="00BD4D14" w:rsidRPr="00BD4D14" w:rsidRDefault="00BD4D14" w:rsidP="00BD4D14">
      <w:pPr>
        <w:pStyle w:val="Odstavecseseznamem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Realizace projektů</w:t>
      </w:r>
    </w:p>
    <w:p w:rsidR="00BD4D14" w:rsidRDefault="00BD4D14" w:rsidP="00BD4D14">
      <w:pPr>
        <w:pStyle w:val="Odstavecseseznamem"/>
        <w:spacing w:after="0"/>
        <w:rPr>
          <w:sz w:val="24"/>
          <w:szCs w:val="24"/>
        </w:rPr>
      </w:pPr>
    </w:p>
    <w:p w:rsidR="00E974E3" w:rsidRDefault="00BD4D14" w:rsidP="00BD4D1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Schváleným rozpočtem na rok 2020 byly galerii </w:t>
      </w:r>
      <w:r w:rsidR="00E974E3">
        <w:rPr>
          <w:sz w:val="24"/>
          <w:szCs w:val="24"/>
        </w:rPr>
        <w:t xml:space="preserve">přiděleny prostředky příspěvku na provoz-kulturní aktivity ve výši 1 898 000 Kč, které zahrnovaly příspěvek na přípravu Bienále grafického designu ve výši 800 000 Kč, realizaci muzejní noci ve výši </w:t>
      </w:r>
    </w:p>
    <w:p w:rsidR="00EF4793" w:rsidRDefault="00E974E3" w:rsidP="00BD4D1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250 000 Kč a přípravu velkého projektu Česká ilustrace</w:t>
      </w:r>
      <w:r w:rsidR="00EF4793">
        <w:rPr>
          <w:sz w:val="24"/>
          <w:szCs w:val="24"/>
        </w:rPr>
        <w:t xml:space="preserve"> ve výši 800 000 Kč</w:t>
      </w:r>
      <w:r>
        <w:rPr>
          <w:sz w:val="24"/>
          <w:szCs w:val="24"/>
        </w:rPr>
        <w:t>.</w:t>
      </w:r>
      <w:r w:rsidR="00EF4793">
        <w:rPr>
          <w:sz w:val="24"/>
          <w:szCs w:val="24"/>
        </w:rPr>
        <w:t xml:space="preserve"> V rámci příspěvku na provoz-ostatní byly galerii přiděleny prostředky na projekt VISK 9/II ve výši 48 000 Kč na zakoupení programového modulu Z39,50 update klient pro knihovní systém </w:t>
      </w:r>
      <w:proofErr w:type="spellStart"/>
      <w:r w:rsidR="00EF4793">
        <w:rPr>
          <w:sz w:val="24"/>
          <w:szCs w:val="24"/>
        </w:rPr>
        <w:t>Verbis</w:t>
      </w:r>
      <w:proofErr w:type="spellEnd"/>
      <w:r w:rsidR="00EF4793">
        <w:rPr>
          <w:sz w:val="24"/>
          <w:szCs w:val="24"/>
        </w:rPr>
        <w:t xml:space="preserve">. V průběhu roku byla Odborem regionální a národnostní kultury přidělena dotace ve výši 70 000 Kč na projekt My </w:t>
      </w:r>
      <w:proofErr w:type="spellStart"/>
      <w:r w:rsidR="00EF4793">
        <w:rPr>
          <w:sz w:val="24"/>
          <w:szCs w:val="24"/>
        </w:rPr>
        <w:t>Moravian</w:t>
      </w:r>
      <w:proofErr w:type="spellEnd"/>
      <w:r w:rsidR="00EF4793">
        <w:rPr>
          <w:sz w:val="24"/>
          <w:szCs w:val="24"/>
        </w:rPr>
        <w:t xml:space="preserve"> </w:t>
      </w:r>
      <w:proofErr w:type="spellStart"/>
      <w:r w:rsidR="00EF4793">
        <w:rPr>
          <w:sz w:val="24"/>
          <w:szCs w:val="24"/>
        </w:rPr>
        <w:t>Gallery</w:t>
      </w:r>
      <w:proofErr w:type="spellEnd"/>
      <w:r w:rsidR="00EF4793">
        <w:rPr>
          <w:sz w:val="24"/>
          <w:szCs w:val="24"/>
        </w:rPr>
        <w:t>, který je zaměřen na integraci cizinců v novém společenském a kulturním prostředí.</w:t>
      </w:r>
    </w:p>
    <w:p w:rsidR="00BD4D14" w:rsidRDefault="00EF4793" w:rsidP="00BD4D1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Na</w:t>
      </w:r>
      <w:r w:rsidR="00F52A09">
        <w:rPr>
          <w:sz w:val="24"/>
          <w:szCs w:val="24"/>
        </w:rPr>
        <w:t xml:space="preserve"> všechny</w:t>
      </w:r>
      <w:r>
        <w:rPr>
          <w:sz w:val="24"/>
          <w:szCs w:val="24"/>
        </w:rPr>
        <w:t> uvedené schválené dotace byly galerii zaslány finanční prostředky mimo prostředků na projekt Česká ilustrace, kde již na začátku roku Moravská galerie upozorňovala poskytovatele, že výše příspěvku je nedostatečná a projekt tak z důvodu nedostatku finančních prostředků nebude moci být realizován.</w:t>
      </w:r>
    </w:p>
    <w:p w:rsidR="00F52A09" w:rsidRDefault="00F52A09" w:rsidP="00BD4D14">
      <w:pPr>
        <w:pStyle w:val="Odstavecseseznamem"/>
        <w:spacing w:after="0"/>
        <w:rPr>
          <w:sz w:val="24"/>
          <w:szCs w:val="24"/>
        </w:rPr>
      </w:pPr>
    </w:p>
    <w:p w:rsidR="00F52A09" w:rsidRDefault="00F52A09" w:rsidP="00BD4D1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Vzhledem k mimořádné pandemické situaci, kdy řada projektů nemohla být realizována, byly kulturní instituce vyzvány k přehodnocení svých záměrů a s tím spojeného čerpání finančních příspěvků. Jelikož po dohodě všech partnerských </w:t>
      </w:r>
      <w:r>
        <w:rPr>
          <w:sz w:val="24"/>
          <w:szCs w:val="24"/>
        </w:rPr>
        <w:lastRenderedPageBreak/>
        <w:t>institucí bylo konání Muzejní noci v roce 2020 zcela zrušeno, bylo navrženo vrácení části prostředků ve výši 200 000 Kč.</w:t>
      </w:r>
    </w:p>
    <w:p w:rsidR="00F52A09" w:rsidRDefault="00F52A09" w:rsidP="00BD4D1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Současně však byl</w:t>
      </w:r>
      <w:r w:rsidR="00384D6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84D6F">
        <w:rPr>
          <w:sz w:val="24"/>
          <w:szCs w:val="24"/>
        </w:rPr>
        <w:t>podána žádost</w:t>
      </w:r>
      <w:r>
        <w:rPr>
          <w:sz w:val="24"/>
          <w:szCs w:val="24"/>
        </w:rPr>
        <w:t xml:space="preserve"> o poskytnutí příspěvku na projekt s názvem Interaktivní prvky-dětská herna a to ve výši 600 000 Kč.</w:t>
      </w:r>
      <w:r w:rsidR="00384D6F">
        <w:rPr>
          <w:sz w:val="24"/>
          <w:szCs w:val="24"/>
        </w:rPr>
        <w:t xml:space="preserve"> Tento projekt byl schválen, takže uvedený záměr mohl být do konce roku realizován.</w:t>
      </w:r>
    </w:p>
    <w:p w:rsidR="00384D6F" w:rsidRDefault="00384D6F" w:rsidP="00BD4D14">
      <w:pPr>
        <w:pStyle w:val="Odstavecseseznamem"/>
        <w:spacing w:after="0"/>
        <w:rPr>
          <w:sz w:val="24"/>
          <w:szCs w:val="24"/>
        </w:rPr>
      </w:pPr>
    </w:p>
    <w:p w:rsidR="00384D6F" w:rsidRDefault="00384D6F" w:rsidP="00BD4D14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Všechny uvedené projekty, na které byl poskytnut příspěvek z kulturních aktivit, byly do konce </w:t>
      </w:r>
      <w:bookmarkStart w:id="0" w:name="_GoBack"/>
      <w:bookmarkEnd w:id="0"/>
      <w:r>
        <w:rPr>
          <w:sz w:val="24"/>
          <w:szCs w:val="24"/>
        </w:rPr>
        <w:t>roku zrealizovány včetně naplnění stanoveného cíle. Přehled čerpání těchto prostředků včetně finančního vyúčtování je uveden v příloze č. 6.</w:t>
      </w:r>
    </w:p>
    <w:p w:rsidR="00E974E3" w:rsidRPr="00BD4D14" w:rsidRDefault="00E974E3" w:rsidP="00BD4D14">
      <w:pPr>
        <w:pStyle w:val="Odstavecseseznamem"/>
        <w:spacing w:after="0"/>
        <w:rPr>
          <w:sz w:val="24"/>
          <w:szCs w:val="24"/>
        </w:rPr>
      </w:pPr>
    </w:p>
    <w:p w:rsidR="00E518F2" w:rsidRDefault="00E518F2" w:rsidP="005A525A">
      <w:pPr>
        <w:pStyle w:val="Odstavecseseznamem"/>
        <w:spacing w:after="0"/>
        <w:rPr>
          <w:sz w:val="24"/>
          <w:szCs w:val="24"/>
        </w:rPr>
      </w:pPr>
    </w:p>
    <w:p w:rsidR="00224136" w:rsidRPr="005A525A" w:rsidRDefault="00224136" w:rsidP="005A525A">
      <w:pPr>
        <w:pStyle w:val="Odstavecseseznamem"/>
        <w:spacing w:after="0"/>
        <w:rPr>
          <w:sz w:val="24"/>
          <w:szCs w:val="24"/>
        </w:rPr>
      </w:pPr>
    </w:p>
    <w:p w:rsidR="00821F10" w:rsidRDefault="00DE3C88" w:rsidP="00DE3C8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882DCC" w:rsidRPr="00882DCC" w:rsidRDefault="00882DCC" w:rsidP="00882DCC">
      <w:pPr>
        <w:jc w:val="center"/>
        <w:rPr>
          <w:b/>
          <w:sz w:val="36"/>
          <w:szCs w:val="36"/>
        </w:rPr>
      </w:pPr>
    </w:p>
    <w:p w:rsidR="00F84A8D" w:rsidRDefault="00F84A8D" w:rsidP="00F84A8D"/>
    <w:p w:rsidR="00400F56" w:rsidRDefault="00400F56" w:rsidP="00400F56">
      <w:pPr>
        <w:pStyle w:val="Odstavecseseznamem"/>
      </w:pPr>
    </w:p>
    <w:p w:rsidR="00400F56" w:rsidRPr="00665CA1" w:rsidRDefault="00400F56" w:rsidP="00400F56">
      <w:pPr>
        <w:pStyle w:val="Odstavecseseznamem"/>
        <w:spacing w:after="0"/>
      </w:pPr>
    </w:p>
    <w:p w:rsidR="001C2529" w:rsidRDefault="001C2529" w:rsidP="001C2529"/>
    <w:p w:rsidR="001C2529" w:rsidRDefault="00BF797C" w:rsidP="001C2529">
      <w:r>
        <w:t xml:space="preserve">    </w:t>
      </w:r>
    </w:p>
    <w:p w:rsidR="00BF797C" w:rsidRDefault="00BF797C" w:rsidP="001C2529"/>
    <w:p w:rsidR="00C96BC3" w:rsidRDefault="00C96BC3" w:rsidP="001C2529"/>
    <w:p w:rsidR="00C96BC3" w:rsidRDefault="00C96BC3" w:rsidP="001C2529"/>
    <w:p w:rsidR="0076066F" w:rsidRDefault="0076066F" w:rsidP="001C2529"/>
    <w:p w:rsidR="00242ABC" w:rsidRDefault="00242ABC" w:rsidP="004D73E2">
      <w:pPr>
        <w:rPr>
          <w:sz w:val="24"/>
          <w:szCs w:val="24"/>
        </w:rPr>
      </w:pPr>
    </w:p>
    <w:p w:rsidR="00242ABC" w:rsidRDefault="00242ABC" w:rsidP="004D73E2">
      <w:pPr>
        <w:rPr>
          <w:sz w:val="24"/>
          <w:szCs w:val="24"/>
        </w:rPr>
      </w:pPr>
    </w:p>
    <w:p w:rsidR="00242ABC" w:rsidRDefault="00242ABC" w:rsidP="004D73E2">
      <w:pPr>
        <w:rPr>
          <w:sz w:val="24"/>
          <w:szCs w:val="24"/>
        </w:rPr>
      </w:pPr>
    </w:p>
    <w:p w:rsidR="001A7E3B" w:rsidRDefault="001A7E3B" w:rsidP="004D73E2">
      <w:pPr>
        <w:rPr>
          <w:sz w:val="24"/>
          <w:szCs w:val="24"/>
        </w:rPr>
      </w:pPr>
    </w:p>
    <w:p w:rsidR="00242ABC" w:rsidRDefault="00242ABC" w:rsidP="004D73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4D73E2" w:rsidRDefault="004D73E2" w:rsidP="001C2529"/>
    <w:p w:rsidR="0076066F" w:rsidRDefault="0076066F" w:rsidP="001C2529"/>
    <w:p w:rsidR="0076066F" w:rsidRDefault="0076066F" w:rsidP="001C2529">
      <w:pPr>
        <w:rPr>
          <w:sz w:val="28"/>
          <w:szCs w:val="28"/>
        </w:rPr>
      </w:pPr>
    </w:p>
    <w:p w:rsidR="0076066F" w:rsidRDefault="0076066F" w:rsidP="001C2529">
      <w:pPr>
        <w:rPr>
          <w:sz w:val="28"/>
          <w:szCs w:val="28"/>
        </w:rPr>
      </w:pPr>
    </w:p>
    <w:p w:rsidR="0076066F" w:rsidRDefault="0076066F" w:rsidP="001C2529">
      <w:pPr>
        <w:rPr>
          <w:sz w:val="28"/>
          <w:szCs w:val="28"/>
        </w:rPr>
      </w:pPr>
    </w:p>
    <w:p w:rsidR="005E25BF" w:rsidRPr="005E25BF" w:rsidRDefault="0076066F" w:rsidP="004D73E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</w:p>
    <w:p w:rsidR="005E25BF" w:rsidRPr="005E25BF" w:rsidRDefault="005E25BF" w:rsidP="005E25BF">
      <w:pPr>
        <w:rPr>
          <w:sz w:val="24"/>
          <w:szCs w:val="24"/>
        </w:rPr>
      </w:pPr>
    </w:p>
    <w:p w:rsidR="0076066F" w:rsidRPr="0076066F" w:rsidRDefault="0076066F" w:rsidP="0076066F">
      <w:pPr>
        <w:rPr>
          <w:sz w:val="24"/>
          <w:szCs w:val="24"/>
        </w:rPr>
      </w:pPr>
    </w:p>
    <w:p w:rsidR="0076066F" w:rsidRPr="0076066F" w:rsidRDefault="0076066F" w:rsidP="0076066F">
      <w:pPr>
        <w:rPr>
          <w:sz w:val="24"/>
          <w:szCs w:val="24"/>
        </w:rPr>
      </w:pPr>
    </w:p>
    <w:p w:rsidR="0076066F" w:rsidRPr="0076066F" w:rsidRDefault="0076066F" w:rsidP="0076066F">
      <w:pPr>
        <w:pStyle w:val="Odstavecseseznamem"/>
        <w:spacing w:after="0" w:line="240" w:lineRule="auto"/>
        <w:rPr>
          <w:sz w:val="24"/>
          <w:szCs w:val="24"/>
        </w:rPr>
      </w:pPr>
    </w:p>
    <w:p w:rsidR="0076066F" w:rsidRPr="0076066F" w:rsidRDefault="0076066F" w:rsidP="0076066F">
      <w:pPr>
        <w:spacing w:after="0" w:line="240" w:lineRule="auto"/>
        <w:rPr>
          <w:sz w:val="24"/>
          <w:szCs w:val="24"/>
        </w:rPr>
      </w:pPr>
    </w:p>
    <w:p w:rsidR="0076066F" w:rsidRDefault="0076066F" w:rsidP="001C2529"/>
    <w:p w:rsidR="0076066F" w:rsidRDefault="0076066F" w:rsidP="001C2529"/>
    <w:p w:rsidR="00235B67" w:rsidRDefault="00235B67" w:rsidP="00A36CAA">
      <w:pPr>
        <w:rPr>
          <w:sz w:val="24"/>
          <w:szCs w:val="24"/>
        </w:rPr>
      </w:pPr>
    </w:p>
    <w:p w:rsidR="00235B67" w:rsidRPr="00A36CAA" w:rsidRDefault="00235B67" w:rsidP="00A36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1C2529" w:rsidRDefault="001C2529" w:rsidP="001C2529"/>
    <w:p w:rsidR="00693524" w:rsidRDefault="00693524" w:rsidP="001C2529"/>
    <w:p w:rsidR="00693524" w:rsidRDefault="00693524" w:rsidP="001C2529"/>
    <w:p w:rsidR="00693524" w:rsidRDefault="00693524" w:rsidP="001C2529"/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Default="00693524" w:rsidP="00693524">
      <w:pPr>
        <w:spacing w:line="240" w:lineRule="auto"/>
      </w:pPr>
    </w:p>
    <w:p w:rsidR="00693524" w:rsidRPr="001C2529" w:rsidRDefault="00693524" w:rsidP="00693524">
      <w:pPr>
        <w:spacing w:line="240" w:lineRule="auto"/>
      </w:pPr>
    </w:p>
    <w:sectPr w:rsidR="00693524" w:rsidRPr="001C25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B3" w:rsidRDefault="002C45B3" w:rsidP="00882DCC">
      <w:pPr>
        <w:spacing w:after="0" w:line="240" w:lineRule="auto"/>
      </w:pPr>
      <w:r>
        <w:separator/>
      </w:r>
    </w:p>
  </w:endnote>
  <w:endnote w:type="continuationSeparator" w:id="0">
    <w:p w:rsidR="002C45B3" w:rsidRDefault="002C45B3" w:rsidP="008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414764"/>
      <w:docPartObj>
        <w:docPartGallery w:val="Page Numbers (Bottom of Page)"/>
        <w:docPartUnique/>
      </w:docPartObj>
    </w:sdtPr>
    <w:sdtEndPr/>
    <w:sdtContent>
      <w:p w:rsidR="00882DCC" w:rsidRDefault="00882DC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6F">
          <w:rPr>
            <w:noProof/>
          </w:rPr>
          <w:t>10</w:t>
        </w:r>
        <w:r>
          <w:fldChar w:fldCharType="end"/>
        </w:r>
      </w:p>
    </w:sdtContent>
  </w:sdt>
  <w:p w:rsidR="00882DCC" w:rsidRDefault="00882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B3" w:rsidRDefault="002C45B3" w:rsidP="00882DCC">
      <w:pPr>
        <w:spacing w:after="0" w:line="240" w:lineRule="auto"/>
      </w:pPr>
      <w:r>
        <w:separator/>
      </w:r>
    </w:p>
  </w:footnote>
  <w:footnote w:type="continuationSeparator" w:id="0">
    <w:p w:rsidR="002C45B3" w:rsidRDefault="002C45B3" w:rsidP="0088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8D"/>
    <w:multiLevelType w:val="hybridMultilevel"/>
    <w:tmpl w:val="43E29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78E"/>
    <w:multiLevelType w:val="hybridMultilevel"/>
    <w:tmpl w:val="4D5412FC"/>
    <w:lvl w:ilvl="0" w:tplc="4358E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7D9F"/>
    <w:multiLevelType w:val="hybridMultilevel"/>
    <w:tmpl w:val="839ED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C69"/>
    <w:multiLevelType w:val="hybridMultilevel"/>
    <w:tmpl w:val="EE20E1D0"/>
    <w:lvl w:ilvl="0" w:tplc="63845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6263B"/>
    <w:multiLevelType w:val="hybridMultilevel"/>
    <w:tmpl w:val="52DE7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9"/>
    <w:rsid w:val="000140C7"/>
    <w:rsid w:val="00030B75"/>
    <w:rsid w:val="00065120"/>
    <w:rsid w:val="000738CB"/>
    <w:rsid w:val="00082C77"/>
    <w:rsid w:val="000B713D"/>
    <w:rsid w:val="000D6087"/>
    <w:rsid w:val="000D6B9D"/>
    <w:rsid w:val="00135373"/>
    <w:rsid w:val="001427CD"/>
    <w:rsid w:val="0014779F"/>
    <w:rsid w:val="001535BC"/>
    <w:rsid w:val="00165573"/>
    <w:rsid w:val="001824AB"/>
    <w:rsid w:val="001918ED"/>
    <w:rsid w:val="001979DD"/>
    <w:rsid w:val="001A7E3B"/>
    <w:rsid w:val="001C01FE"/>
    <w:rsid w:val="001C2529"/>
    <w:rsid w:val="001D133B"/>
    <w:rsid w:val="00205709"/>
    <w:rsid w:val="00213DA0"/>
    <w:rsid w:val="00224136"/>
    <w:rsid w:val="00235B67"/>
    <w:rsid w:val="00242ABC"/>
    <w:rsid w:val="00285B6E"/>
    <w:rsid w:val="002C45B3"/>
    <w:rsid w:val="002C5674"/>
    <w:rsid w:val="002D0CCF"/>
    <w:rsid w:val="002F6D00"/>
    <w:rsid w:val="00301AB6"/>
    <w:rsid w:val="003609AD"/>
    <w:rsid w:val="00375915"/>
    <w:rsid w:val="00375E3E"/>
    <w:rsid w:val="00384D6F"/>
    <w:rsid w:val="003B68FD"/>
    <w:rsid w:val="003C5103"/>
    <w:rsid w:val="003E6F4B"/>
    <w:rsid w:val="003F4D95"/>
    <w:rsid w:val="00400F56"/>
    <w:rsid w:val="0042116E"/>
    <w:rsid w:val="0047496B"/>
    <w:rsid w:val="00475387"/>
    <w:rsid w:val="004C56CB"/>
    <w:rsid w:val="004D73E2"/>
    <w:rsid w:val="00554EEE"/>
    <w:rsid w:val="0058251F"/>
    <w:rsid w:val="005A525A"/>
    <w:rsid w:val="005B1168"/>
    <w:rsid w:val="005B6F4E"/>
    <w:rsid w:val="005C5C5B"/>
    <w:rsid w:val="005E25BF"/>
    <w:rsid w:val="005F0524"/>
    <w:rsid w:val="0061474F"/>
    <w:rsid w:val="0062617A"/>
    <w:rsid w:val="00665CA1"/>
    <w:rsid w:val="00667629"/>
    <w:rsid w:val="00693524"/>
    <w:rsid w:val="006A6A76"/>
    <w:rsid w:val="006E3719"/>
    <w:rsid w:val="00721F88"/>
    <w:rsid w:val="00734BC7"/>
    <w:rsid w:val="00753910"/>
    <w:rsid w:val="00757F19"/>
    <w:rsid w:val="0076066F"/>
    <w:rsid w:val="007E3D9C"/>
    <w:rsid w:val="00821F10"/>
    <w:rsid w:val="00882DCC"/>
    <w:rsid w:val="008F023B"/>
    <w:rsid w:val="0090023C"/>
    <w:rsid w:val="00954324"/>
    <w:rsid w:val="00993D25"/>
    <w:rsid w:val="00994A54"/>
    <w:rsid w:val="0099781D"/>
    <w:rsid w:val="009B3C2E"/>
    <w:rsid w:val="009E20B5"/>
    <w:rsid w:val="00A300F9"/>
    <w:rsid w:val="00A36CAA"/>
    <w:rsid w:val="00A672C8"/>
    <w:rsid w:val="00A95EC5"/>
    <w:rsid w:val="00B41C25"/>
    <w:rsid w:val="00B541FB"/>
    <w:rsid w:val="00B80ACF"/>
    <w:rsid w:val="00B92A5F"/>
    <w:rsid w:val="00BC6416"/>
    <w:rsid w:val="00BD4D14"/>
    <w:rsid w:val="00BE2643"/>
    <w:rsid w:val="00BF797C"/>
    <w:rsid w:val="00C1321C"/>
    <w:rsid w:val="00C22FB6"/>
    <w:rsid w:val="00C24E90"/>
    <w:rsid w:val="00C73E98"/>
    <w:rsid w:val="00C96BC3"/>
    <w:rsid w:val="00CC06B8"/>
    <w:rsid w:val="00CC76D6"/>
    <w:rsid w:val="00D14B4C"/>
    <w:rsid w:val="00D617BF"/>
    <w:rsid w:val="00D6282A"/>
    <w:rsid w:val="00D650D8"/>
    <w:rsid w:val="00D70C14"/>
    <w:rsid w:val="00DA2356"/>
    <w:rsid w:val="00DA3B27"/>
    <w:rsid w:val="00DE3C88"/>
    <w:rsid w:val="00E14667"/>
    <w:rsid w:val="00E210F8"/>
    <w:rsid w:val="00E26EB0"/>
    <w:rsid w:val="00E518F2"/>
    <w:rsid w:val="00E647C7"/>
    <w:rsid w:val="00E85BF6"/>
    <w:rsid w:val="00E974E3"/>
    <w:rsid w:val="00EB24CC"/>
    <w:rsid w:val="00EB58B3"/>
    <w:rsid w:val="00EC22D8"/>
    <w:rsid w:val="00EE18AA"/>
    <w:rsid w:val="00EF4793"/>
    <w:rsid w:val="00F52A09"/>
    <w:rsid w:val="00F54390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2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0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252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C2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E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0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DCC"/>
  </w:style>
  <w:style w:type="paragraph" w:styleId="Zpat">
    <w:name w:val="footer"/>
    <w:basedOn w:val="Normln"/>
    <w:link w:val="ZpatChar"/>
    <w:uiPriority w:val="99"/>
    <w:unhideWhenUsed/>
    <w:rsid w:val="008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2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0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C252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C2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9E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0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DCC"/>
  </w:style>
  <w:style w:type="paragraph" w:styleId="Zpat">
    <w:name w:val="footer"/>
    <w:basedOn w:val="Normln"/>
    <w:link w:val="ZpatChar"/>
    <w:uiPriority w:val="99"/>
    <w:unhideWhenUsed/>
    <w:rsid w:val="0088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B80B-F562-4F53-A6A5-4F48E2BC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3667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Kneslová Petra</dc:creator>
  <cp:lastModifiedBy>Kočařová Marie</cp:lastModifiedBy>
  <cp:revision>53</cp:revision>
  <cp:lastPrinted>2019-10-15T13:47:00Z</cp:lastPrinted>
  <dcterms:created xsi:type="dcterms:W3CDTF">2017-06-09T06:18:00Z</dcterms:created>
  <dcterms:modified xsi:type="dcterms:W3CDTF">2021-02-12T07:39:00Z</dcterms:modified>
</cp:coreProperties>
</file>